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rPr>
          <w:rFonts w:ascii="宋体" w:hAnsi="宋体"/>
          <w:b/>
          <w:bCs/>
          <w:sz w:val="48"/>
          <w:szCs w:val="30"/>
        </w:rPr>
      </w:pPr>
    </w:p>
    <w:p w:rsidR="00F0097E" w:rsidRDefault="008A02DC">
      <w:pPr>
        <w:jc w:val="center"/>
        <w:rPr>
          <w:rFonts w:ascii="宋体" w:hAnsi="宋体"/>
          <w:b/>
          <w:bCs/>
          <w:sz w:val="48"/>
          <w:szCs w:val="30"/>
        </w:rPr>
      </w:pPr>
      <w:r>
        <w:rPr>
          <w:rFonts w:ascii="宋体" w:hAnsi="宋体" w:hint="eastAsia"/>
          <w:b/>
          <w:bCs/>
          <w:sz w:val="48"/>
          <w:szCs w:val="30"/>
        </w:rPr>
        <w:t>2022年德财富—定开宝系列（182天定开）开放式净值型人民币理财产品</w:t>
      </w:r>
    </w:p>
    <w:p w:rsidR="00F0097E" w:rsidRDefault="008A02DC">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年第</w:t>
      </w:r>
      <w:r w:rsidR="0098224B">
        <w:rPr>
          <w:rFonts w:ascii="宋体" w:hAnsi="宋体" w:hint="eastAsia"/>
          <w:b/>
          <w:bCs/>
          <w:sz w:val="48"/>
          <w:szCs w:val="30"/>
        </w:rPr>
        <w:t>3</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F0097E" w:rsidRDefault="00F0097E">
      <w:pPr>
        <w:jc w:val="center"/>
        <w:rPr>
          <w:rFonts w:ascii="宋体" w:hAnsi="宋体"/>
          <w:b/>
          <w:bCs/>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8A02DC">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F0097E" w:rsidRDefault="008A02DC">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F0097E" w:rsidRDefault="00F0097E">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F0097E" w:rsidRDefault="008A02DC">
            <w:pPr>
              <w:widowControl/>
              <w:spacing w:after="75" w:line="360" w:lineRule="atLeast"/>
              <w:ind w:firstLine="420"/>
            </w:pPr>
            <w:r>
              <w:rPr>
                <w:rFonts w:hint="eastAsia"/>
              </w:rPr>
              <w:t>产品托管人根据本产品合同规定，于</w:t>
            </w:r>
            <w:r>
              <w:rPr>
                <w:rFonts w:hint="eastAsia"/>
              </w:rPr>
              <w:t xml:space="preserve"> 2025 </w:t>
            </w:r>
            <w:r>
              <w:rPr>
                <w:rFonts w:hint="eastAsia"/>
              </w:rPr>
              <w:t>年</w:t>
            </w:r>
            <w:r>
              <w:rPr>
                <w:rFonts w:hint="eastAsia"/>
              </w:rPr>
              <w:t xml:space="preserve"> </w:t>
            </w:r>
            <w:r w:rsidR="0098224B">
              <w:rPr>
                <w:rFonts w:hint="eastAsia"/>
              </w:rPr>
              <w:t>10</w:t>
            </w:r>
            <w:r>
              <w:rPr>
                <w:rFonts w:hint="eastAsia"/>
              </w:rPr>
              <w:t xml:space="preserve"> </w:t>
            </w:r>
            <w:r>
              <w:rPr>
                <w:rFonts w:hint="eastAsia"/>
              </w:rPr>
              <w:t>月</w:t>
            </w:r>
            <w:r>
              <w:rPr>
                <w:rFonts w:hint="eastAsia"/>
              </w:rPr>
              <w:t>1</w:t>
            </w:r>
            <w:r w:rsidR="0098224B">
              <w:rPr>
                <w:rFonts w:hint="eastAsia"/>
              </w:rPr>
              <w:t>3</w:t>
            </w:r>
            <w:r>
              <w:rPr>
                <w:rFonts w:hint="eastAsia"/>
              </w:rPr>
              <w:t>日复核了本报告中的收益表现和投资组合报告等财务数据，保证复核内容不存在虚假记载、误导性陈述或者重大遗漏。</w:t>
            </w:r>
          </w:p>
          <w:p w:rsidR="00F0097E" w:rsidRDefault="008A02DC">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F0097E" w:rsidRDefault="008A02DC" w:rsidP="0098224B">
            <w:pPr>
              <w:widowControl/>
              <w:spacing w:after="75" w:line="360" w:lineRule="atLeast"/>
              <w:ind w:firstLine="420"/>
              <w:rPr>
                <w:rFonts w:ascii="宋体" w:eastAsia="宋体" w:hAnsi="宋体" w:cs="宋体"/>
                <w:kern w:val="0"/>
                <w:sz w:val="24"/>
                <w:szCs w:val="24"/>
              </w:rPr>
            </w:pPr>
            <w:r>
              <w:t>本报告期自</w:t>
            </w:r>
            <w:r>
              <w:t xml:space="preserve"> 202</w:t>
            </w:r>
            <w:r>
              <w:rPr>
                <w:rFonts w:hint="eastAsia"/>
              </w:rPr>
              <w:t>5</w:t>
            </w:r>
            <w:r>
              <w:t>年</w:t>
            </w:r>
            <w:r>
              <w:t xml:space="preserve"> </w:t>
            </w:r>
            <w:r>
              <w:rPr>
                <w:rFonts w:hint="eastAsia"/>
              </w:rPr>
              <w:t>0</w:t>
            </w:r>
            <w:r w:rsidR="0098224B">
              <w:rPr>
                <w:rFonts w:hint="eastAsia"/>
              </w:rPr>
              <w:t>7</w:t>
            </w:r>
            <w:r>
              <w:t>月</w:t>
            </w:r>
            <w:r>
              <w:t xml:space="preserve"> 01 </w:t>
            </w:r>
            <w:r>
              <w:t>日至</w:t>
            </w:r>
            <w:r>
              <w:t xml:space="preserve"> </w:t>
            </w:r>
            <w:r w:rsidR="0098224B">
              <w:rPr>
                <w:rFonts w:hint="eastAsia"/>
              </w:rPr>
              <w:t>9</w:t>
            </w:r>
            <w:r>
              <w:t>月</w:t>
            </w:r>
            <w:r>
              <w:t xml:space="preserve"> 3</w:t>
            </w:r>
            <w:r>
              <w:rPr>
                <w:rFonts w:hint="eastAsia"/>
              </w:rPr>
              <w:t>0</w:t>
            </w:r>
            <w:r>
              <w:t xml:space="preserve"> </w:t>
            </w:r>
            <w:r>
              <w:t>日止。</w:t>
            </w:r>
          </w:p>
        </w:tc>
      </w:tr>
    </w:tbl>
    <w:p w:rsidR="00F0097E" w:rsidRDefault="00F0097E">
      <w:pPr>
        <w:widowControl/>
        <w:shd w:val="clear" w:color="auto" w:fill="FFFFFF"/>
        <w:jc w:val="left"/>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jc w:val="left"/>
              <w:rPr>
                <w:rFonts w:ascii="宋体" w:hAnsi="宋体" w:cs="宋体"/>
                <w:b/>
                <w:kern w:val="0"/>
                <w:szCs w:val="21"/>
              </w:rPr>
            </w:pPr>
            <w:r>
              <w:rPr>
                <w:rFonts w:ascii="宋体" w:hAnsi="宋体" w:cs="宋体" w:hint="eastAsia"/>
                <w:b/>
                <w:kern w:val="0"/>
                <w:szCs w:val="21"/>
              </w:rPr>
              <w:t>2022年德财富—定开宝系列（182天定开）开放式净值型人民币理财产品</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hAnsi="宋体" w:cs="宋体" w:hint="eastAsia"/>
                <w:kern w:val="0"/>
                <w:sz w:val="24"/>
                <w:szCs w:val="24"/>
              </w:rPr>
              <w:t>C1090322000018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9</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rsidP="00655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w:t>
            </w:r>
            <w:r w:rsidR="006550ED">
              <w:rPr>
                <w:rFonts w:ascii="宋体" w:eastAsia="宋体" w:hAnsi="宋体" w:cs="宋体" w:hint="eastAsia"/>
                <w:kern w:val="0"/>
                <w:sz w:val="24"/>
                <w:szCs w:val="24"/>
              </w:rPr>
              <w:t>3</w:t>
            </w:r>
            <w:r>
              <w:rPr>
                <w:rFonts w:ascii="宋体" w:eastAsia="宋体" w:hAnsi="宋体" w:cs="宋体" w:hint="eastAsia"/>
                <w:kern w:val="0"/>
                <w:sz w:val="24"/>
                <w:szCs w:val="24"/>
              </w:rPr>
              <w:t>0</w:t>
            </w:r>
            <w:r>
              <w:rPr>
                <w:rFonts w:ascii="宋体" w:eastAsia="宋体" w:hAnsi="宋体" w:cs="宋体"/>
                <w:kern w:val="0"/>
                <w:sz w:val="24"/>
                <w:szCs w:val="24"/>
              </w:rPr>
              <w:t>%</w:t>
            </w:r>
          </w:p>
        </w:tc>
      </w:tr>
    </w:tbl>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703"/>
        <w:gridCol w:w="1563"/>
        <w:gridCol w:w="1706"/>
        <w:gridCol w:w="1706"/>
        <w:gridCol w:w="1688"/>
      </w:tblGrid>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lastRenderedPageBreak/>
              <w:t>（万元）</w:t>
            </w:r>
          </w:p>
        </w:tc>
      </w:tr>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lastRenderedPageBreak/>
              <w:t>DCFD22002</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Default="008A02DC" w:rsidP="0098224B">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sidR="0098224B">
              <w:rPr>
                <w:rFonts w:ascii="宋体" w:eastAsia="宋体" w:hAnsi="宋体" w:cs="宋体" w:hint="eastAsia"/>
                <w:kern w:val="0"/>
                <w:sz w:val="24"/>
                <w:szCs w:val="24"/>
              </w:rPr>
              <w:t>9</w:t>
            </w:r>
            <w:r>
              <w:rPr>
                <w:rFonts w:ascii="宋体" w:eastAsia="宋体" w:hAnsi="宋体" w:cs="宋体" w:hint="eastAsia"/>
                <w:kern w:val="0"/>
                <w:sz w:val="24"/>
                <w:szCs w:val="24"/>
              </w:rPr>
              <w:t>-30</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98224B">
            <w:pPr>
              <w:widowControl/>
              <w:spacing w:after="75" w:line="360" w:lineRule="atLeast"/>
              <w:jc w:val="center"/>
              <w:rPr>
                <w:rFonts w:ascii="宋体" w:eastAsia="宋体" w:hAnsi="宋体" w:cs="宋体"/>
                <w:kern w:val="0"/>
                <w:sz w:val="24"/>
                <w:szCs w:val="24"/>
              </w:rPr>
            </w:pPr>
            <w:r w:rsidRPr="0098224B">
              <w:rPr>
                <w:rFonts w:ascii="宋体" w:eastAsia="宋体" w:hAnsi="宋体" w:cs="宋体"/>
                <w:kern w:val="0"/>
                <w:sz w:val="24"/>
                <w:szCs w:val="24"/>
              </w:rPr>
              <w:t>1.10321512</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98224B">
            <w:pPr>
              <w:widowControl/>
              <w:spacing w:after="75" w:line="360" w:lineRule="atLeast"/>
              <w:jc w:val="center"/>
              <w:rPr>
                <w:rFonts w:ascii="宋体" w:eastAsia="宋体" w:hAnsi="宋体" w:cs="宋体"/>
                <w:kern w:val="0"/>
                <w:sz w:val="24"/>
                <w:szCs w:val="24"/>
              </w:rPr>
            </w:pPr>
            <w:r w:rsidRPr="0098224B">
              <w:rPr>
                <w:rFonts w:ascii="宋体" w:eastAsia="宋体" w:hAnsi="宋体" w:cs="宋体"/>
                <w:kern w:val="0"/>
                <w:sz w:val="24"/>
                <w:szCs w:val="24"/>
              </w:rPr>
              <w:t>1.10321512</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Pr="0098224B" w:rsidRDefault="0098224B" w:rsidP="0098224B">
            <w:pPr>
              <w:widowControl/>
              <w:spacing w:after="75" w:line="360" w:lineRule="atLeast"/>
              <w:jc w:val="center"/>
              <w:rPr>
                <w:rFonts w:ascii="宋体" w:eastAsia="宋体" w:hAnsi="宋体" w:cs="宋体"/>
                <w:bCs/>
                <w:kern w:val="0"/>
                <w:sz w:val="24"/>
                <w:szCs w:val="24"/>
              </w:rPr>
            </w:pPr>
            <w:r w:rsidRPr="0098224B">
              <w:rPr>
                <w:rFonts w:ascii="宋体" w:eastAsia="宋体" w:hAnsi="宋体" w:cs="宋体"/>
                <w:bCs/>
                <w:kern w:val="0"/>
                <w:sz w:val="24"/>
                <w:szCs w:val="24"/>
              </w:rPr>
              <w:t xml:space="preserve">30803.71 </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3"/>
        <w:gridCol w:w="4406"/>
        <w:gridCol w:w="1498"/>
        <w:gridCol w:w="1439"/>
      </w:tblGrid>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rsidP="0098224B">
            <w:pPr>
              <w:jc w:val="center"/>
              <w:rPr>
                <w:rFonts w:ascii="宋体" w:eastAsia="宋体" w:hAnsi="宋体" w:cs="宋体"/>
                <w:kern w:val="0"/>
                <w:sz w:val="24"/>
                <w:szCs w:val="24"/>
              </w:rPr>
            </w:pPr>
            <w:r>
              <w:rPr>
                <w:rFonts w:ascii="宋体" w:eastAsia="宋体" w:hAnsi="宋体" w:cs="宋体" w:hint="eastAsia"/>
                <w:kern w:val="0"/>
                <w:sz w:val="24"/>
                <w:szCs w:val="24"/>
              </w:rPr>
              <w:t>0.1</w:t>
            </w:r>
            <w:r w:rsidR="0098224B">
              <w:rPr>
                <w:rFonts w:ascii="宋体" w:eastAsia="宋体" w:hAnsi="宋体" w:cs="宋体" w:hint="eastAsia"/>
                <w:kern w:val="0"/>
                <w:sz w:val="24"/>
                <w:szCs w:val="24"/>
              </w:rPr>
              <w:t>1</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98224B">
            <w:pPr>
              <w:jc w:val="center"/>
              <w:rPr>
                <w:rFonts w:ascii="宋体" w:eastAsia="宋体" w:hAnsi="宋体" w:cs="宋体"/>
                <w:kern w:val="0"/>
                <w:sz w:val="24"/>
                <w:szCs w:val="24"/>
              </w:rPr>
            </w:pPr>
            <w:r>
              <w:rPr>
                <w:rFonts w:ascii="宋体" w:eastAsia="宋体" w:hAnsi="宋体" w:cs="宋体" w:hint="eastAsia"/>
                <w:kern w:val="0"/>
                <w:sz w:val="24"/>
                <w:szCs w:val="24"/>
              </w:rPr>
              <w:t>57.79</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rsidP="0098224B">
            <w:pPr>
              <w:jc w:val="center"/>
              <w:rPr>
                <w:rFonts w:ascii="宋体" w:eastAsia="宋体" w:hAnsi="宋体" w:cs="宋体"/>
                <w:kern w:val="0"/>
                <w:sz w:val="24"/>
                <w:szCs w:val="24"/>
              </w:rPr>
            </w:pPr>
            <w:r>
              <w:rPr>
                <w:rFonts w:ascii="宋体" w:eastAsia="宋体" w:hAnsi="宋体" w:cs="宋体" w:hint="eastAsia"/>
                <w:kern w:val="0"/>
                <w:sz w:val="24"/>
                <w:szCs w:val="24"/>
              </w:rPr>
              <w:t>3.</w:t>
            </w:r>
            <w:r w:rsidR="0098224B">
              <w:rPr>
                <w:rFonts w:ascii="宋体" w:eastAsia="宋体" w:hAnsi="宋体" w:cs="宋体" w:hint="eastAsia"/>
                <w:kern w:val="0"/>
                <w:sz w:val="24"/>
                <w:szCs w:val="24"/>
              </w:rPr>
              <w:t>25</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4</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98224B">
            <w:pPr>
              <w:jc w:val="center"/>
              <w:rPr>
                <w:rFonts w:ascii="宋体" w:eastAsia="宋体" w:hAnsi="宋体" w:cs="宋体"/>
                <w:kern w:val="0"/>
                <w:sz w:val="24"/>
                <w:szCs w:val="24"/>
              </w:rPr>
            </w:pPr>
            <w:r>
              <w:rPr>
                <w:rFonts w:ascii="宋体" w:eastAsia="宋体" w:hAnsi="宋体" w:cs="宋体" w:hint="eastAsia"/>
                <w:kern w:val="0"/>
                <w:sz w:val="24"/>
                <w:szCs w:val="24"/>
              </w:rPr>
              <w:t>45.87</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F0097E" w:rsidRDefault="008A02DC">
      <w:pPr>
        <w:widowControl/>
        <w:shd w:val="clear" w:color="auto" w:fill="FFFFFF"/>
        <w:spacing w:line="360" w:lineRule="atLeast"/>
        <w:ind w:firstLine="525"/>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w:t>
      </w:r>
      <w:r w:rsidR="0098224B">
        <w:rPr>
          <w:rFonts w:ascii="微软雅黑" w:eastAsia="微软雅黑" w:hAnsi="微软雅黑" w:cs="宋体" w:hint="eastAsia"/>
          <w:color w:val="000000"/>
          <w:kern w:val="0"/>
          <w:sz w:val="27"/>
          <w:szCs w:val="27"/>
        </w:rPr>
        <w:t>7.01</w:t>
      </w:r>
      <w:r>
        <w:rPr>
          <w:rFonts w:ascii="微软雅黑" w:eastAsia="微软雅黑" w:hAnsi="微软雅黑" w:cs="宋体" w:hint="eastAsia"/>
          <w:color w:val="000000"/>
          <w:kern w:val="0"/>
          <w:sz w:val="27"/>
          <w:szCs w:val="27"/>
        </w:rPr>
        <w:t>%。</w:t>
      </w: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Pr="0098224B"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8285" w:type="dxa"/>
        <w:jc w:val="center"/>
        <w:tblLook w:val="04A0"/>
      </w:tblPr>
      <w:tblGrid>
        <w:gridCol w:w="828"/>
        <w:gridCol w:w="3098"/>
        <w:gridCol w:w="1876"/>
        <w:gridCol w:w="2483"/>
      </w:tblGrid>
      <w:tr w:rsidR="00F0097E">
        <w:trPr>
          <w:trHeight w:val="430"/>
          <w:jc w:val="center"/>
        </w:trPr>
        <w:tc>
          <w:tcPr>
            <w:tcW w:w="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098"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876"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483"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21</w:t>
            </w:r>
            <w:r w:rsidRPr="00CE4FD0">
              <w:rPr>
                <w:rFonts w:cs="Times New Roman" w:hint="eastAsia"/>
                <w:bCs/>
                <w:sz w:val="22"/>
              </w:rPr>
              <w:t>宁津</w:t>
            </w:r>
            <w:r w:rsidRPr="00CE4FD0">
              <w:rPr>
                <w:rFonts w:ascii="Times New Roman" w:hAnsi="Times New Roman" w:cs="Times New Roman"/>
                <w:bCs/>
                <w:sz w:val="22"/>
              </w:rPr>
              <w:t>01</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6.79%</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20</w:t>
            </w:r>
            <w:r w:rsidRPr="00CE4FD0">
              <w:rPr>
                <w:rFonts w:ascii="Times New Roman" w:hAnsi="Times New Roman" w:cs="Times New Roman"/>
                <w:bCs/>
                <w:sz w:val="22"/>
              </w:rPr>
              <w:t>济宁银行永续债</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6.77%</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cs="Times New Roman" w:hint="eastAsia"/>
                <w:bCs/>
                <w:sz w:val="22"/>
              </w:rPr>
              <w:t>山招</w:t>
            </w:r>
            <w:r w:rsidRPr="00CE4FD0">
              <w:rPr>
                <w:rFonts w:ascii="Times New Roman" w:hAnsi="Times New Roman" w:cs="Times New Roman"/>
                <w:bCs/>
                <w:sz w:val="22"/>
              </w:rPr>
              <w:t>YK02</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6.73%</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Pr="00CE4FD0" w:rsidRDefault="0098224B">
            <w:pPr>
              <w:widowControl/>
              <w:jc w:val="center"/>
              <w:rPr>
                <w:rFonts w:ascii="宋体" w:eastAsia="宋体" w:hAnsi="宋体" w:cs="宋体"/>
                <w:b/>
                <w:bCs/>
                <w:color w:val="000000"/>
                <w:kern w:val="0"/>
                <w:sz w:val="24"/>
                <w:szCs w:val="24"/>
              </w:rPr>
            </w:pPr>
            <w:r w:rsidRPr="00CE4FD0">
              <w:rPr>
                <w:rFonts w:ascii="宋体" w:eastAsia="宋体" w:hAnsi="宋体" w:cs="宋体" w:hint="eastAsia"/>
                <w:b/>
                <w:bCs/>
                <w:color w:val="000000"/>
                <w:kern w:val="0"/>
                <w:sz w:val="24"/>
                <w:szCs w:val="24"/>
              </w:rPr>
              <w:t>4</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23</w:t>
            </w:r>
            <w:r w:rsidRPr="00CE4FD0">
              <w:rPr>
                <w:rFonts w:cs="Times New Roman" w:hint="eastAsia"/>
                <w:bCs/>
                <w:sz w:val="22"/>
              </w:rPr>
              <w:t>招金</w:t>
            </w:r>
            <w:r w:rsidRPr="00CE4FD0">
              <w:rPr>
                <w:rFonts w:ascii="Times New Roman" w:hAnsi="Times New Roman" w:cs="Times New Roman"/>
                <w:bCs/>
                <w:sz w:val="22"/>
              </w:rPr>
              <w:t>MTN003</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6.70%</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24</w:t>
            </w:r>
            <w:r w:rsidRPr="00CE4FD0">
              <w:rPr>
                <w:rFonts w:ascii="Times New Roman" w:hAnsi="Times New Roman" w:cs="Times New Roman"/>
                <w:bCs/>
                <w:sz w:val="22"/>
              </w:rPr>
              <w:t>青岛黄岛</w:t>
            </w:r>
            <w:r w:rsidRPr="00CE4FD0">
              <w:rPr>
                <w:rFonts w:ascii="Times New Roman" w:hAnsi="Times New Roman" w:cs="Times New Roman"/>
                <w:bCs/>
                <w:sz w:val="22"/>
              </w:rPr>
              <w:t>MTN002</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6.68%</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24</w:t>
            </w:r>
            <w:r w:rsidRPr="00CE4FD0">
              <w:rPr>
                <w:rFonts w:cs="Times New Roman" w:hint="eastAsia"/>
                <w:bCs/>
                <w:sz w:val="22"/>
              </w:rPr>
              <w:t>聊城财信</w:t>
            </w:r>
            <w:r w:rsidRPr="00CE4FD0">
              <w:rPr>
                <w:rFonts w:ascii="Times New Roman" w:hAnsi="Times New Roman" w:cs="Times New Roman"/>
                <w:bCs/>
                <w:sz w:val="22"/>
              </w:rPr>
              <w:t>PPN001</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6.65%</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25</w:t>
            </w:r>
            <w:r w:rsidRPr="00CE4FD0">
              <w:rPr>
                <w:rFonts w:cs="Times New Roman" w:hint="eastAsia"/>
                <w:bCs/>
                <w:sz w:val="22"/>
              </w:rPr>
              <w:t>贵州银行</w:t>
            </w:r>
            <w:r w:rsidRPr="00CE4FD0">
              <w:rPr>
                <w:rFonts w:ascii="Times New Roman" w:hAnsi="Times New Roman" w:cs="Times New Roman"/>
                <w:bCs/>
                <w:sz w:val="22"/>
              </w:rPr>
              <w:t>CD053</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同业存单</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6.43%</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25</w:t>
            </w:r>
            <w:r w:rsidRPr="00CE4FD0">
              <w:rPr>
                <w:rFonts w:cs="Times New Roman" w:hint="eastAsia"/>
                <w:bCs/>
                <w:sz w:val="22"/>
              </w:rPr>
              <w:t>汉口银行</w:t>
            </w:r>
            <w:r w:rsidRPr="00CE4FD0">
              <w:rPr>
                <w:rFonts w:ascii="Times New Roman" w:hAnsi="Times New Roman" w:cs="Times New Roman"/>
                <w:bCs/>
                <w:sz w:val="22"/>
              </w:rPr>
              <w:t>CD047</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同业存单</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6.43%</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25</w:t>
            </w:r>
            <w:r w:rsidRPr="00CE4FD0">
              <w:rPr>
                <w:rFonts w:cs="Times New Roman" w:hint="eastAsia"/>
                <w:bCs/>
                <w:sz w:val="22"/>
              </w:rPr>
              <w:t>民生银行</w:t>
            </w:r>
            <w:r w:rsidRPr="00CE4FD0">
              <w:rPr>
                <w:rFonts w:ascii="Times New Roman" w:hAnsi="Times New Roman" w:cs="Times New Roman"/>
                <w:bCs/>
                <w:sz w:val="22"/>
              </w:rPr>
              <w:t>CD106</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同业存单</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6.43%</w:t>
            </w:r>
          </w:p>
        </w:tc>
      </w:tr>
      <w:tr w:rsidR="0098224B">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98224B" w:rsidRDefault="0098224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098" w:type="dxa"/>
            <w:tcBorders>
              <w:top w:val="nil"/>
              <w:left w:val="nil"/>
              <w:bottom w:val="single" w:sz="8" w:space="0" w:color="000000"/>
              <w:right w:val="single" w:sz="8" w:space="0" w:color="000000"/>
            </w:tcBorders>
            <w:shd w:val="clear" w:color="auto" w:fill="auto"/>
            <w:vAlign w:val="center"/>
          </w:tcPr>
          <w:p w:rsidR="0098224B" w:rsidRPr="00CE4FD0" w:rsidRDefault="0098224B">
            <w:pPr>
              <w:rPr>
                <w:rFonts w:ascii="Times New Roman" w:eastAsia="宋体" w:hAnsi="Times New Roman" w:cs="Times New Roman"/>
                <w:bCs/>
                <w:sz w:val="22"/>
              </w:rPr>
            </w:pPr>
            <w:r w:rsidRPr="00CE4FD0">
              <w:rPr>
                <w:rFonts w:ascii="Times New Roman" w:hAnsi="Times New Roman" w:cs="Times New Roman"/>
                <w:bCs/>
                <w:sz w:val="22"/>
              </w:rPr>
              <w:t>25</w:t>
            </w:r>
            <w:r w:rsidRPr="00CE4FD0">
              <w:rPr>
                <w:rFonts w:cs="Times New Roman" w:hint="eastAsia"/>
                <w:bCs/>
                <w:sz w:val="22"/>
              </w:rPr>
              <w:t>四川银行</w:t>
            </w:r>
            <w:r w:rsidRPr="00CE4FD0">
              <w:rPr>
                <w:rFonts w:ascii="Times New Roman" w:hAnsi="Times New Roman" w:cs="Times New Roman"/>
                <w:bCs/>
                <w:sz w:val="22"/>
              </w:rPr>
              <w:t>CD104</w:t>
            </w:r>
          </w:p>
        </w:tc>
        <w:tc>
          <w:tcPr>
            <w:tcW w:w="1876"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宋体" w:eastAsia="宋体" w:hAnsi="宋体" w:cs="宋体"/>
                <w:sz w:val="22"/>
              </w:rPr>
            </w:pPr>
            <w:r>
              <w:rPr>
                <w:rFonts w:hint="eastAsia"/>
                <w:sz w:val="22"/>
              </w:rPr>
              <w:t>同业存单</w:t>
            </w:r>
          </w:p>
        </w:tc>
        <w:tc>
          <w:tcPr>
            <w:tcW w:w="2483" w:type="dxa"/>
            <w:tcBorders>
              <w:top w:val="nil"/>
              <w:left w:val="nil"/>
              <w:bottom w:val="single" w:sz="8" w:space="0" w:color="000000"/>
              <w:right w:val="single" w:sz="8" w:space="0" w:color="000000"/>
            </w:tcBorders>
            <w:shd w:val="clear" w:color="auto" w:fill="auto"/>
            <w:vAlign w:val="center"/>
          </w:tcPr>
          <w:p w:rsidR="0098224B" w:rsidRDefault="0098224B">
            <w:pPr>
              <w:jc w:val="center"/>
              <w:rPr>
                <w:rFonts w:ascii="Times New Roman" w:eastAsia="宋体" w:hAnsi="Times New Roman" w:cs="Times New Roman"/>
                <w:sz w:val="22"/>
              </w:rPr>
            </w:pPr>
            <w:r>
              <w:rPr>
                <w:rFonts w:ascii="Times New Roman" w:hAnsi="Times New Roman" w:cs="Times New Roman"/>
                <w:sz w:val="22"/>
              </w:rPr>
              <w:t>6.43%</w:t>
            </w:r>
          </w:p>
        </w:tc>
      </w:tr>
    </w:tbl>
    <w:p w:rsidR="00F0097E" w:rsidRDefault="008A02DC">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w:t>
            </w:r>
            <w:r>
              <w:rPr>
                <w:rFonts w:ascii="宋体" w:eastAsia="宋体" w:hAnsi="宋体" w:cs="宋体"/>
                <w:iCs/>
                <w:kern w:val="0"/>
                <w:sz w:val="24"/>
                <w:szCs w:val="24"/>
              </w:rPr>
              <w:lastRenderedPageBreak/>
              <w:t>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F0097E" w:rsidRDefault="00F0097E">
      <w:pPr>
        <w:widowControl/>
        <w:shd w:val="clear" w:color="auto" w:fill="FFFFFF"/>
        <w:spacing w:line="360" w:lineRule="atLeast"/>
        <w:jc w:val="center"/>
        <w:rPr>
          <w:rFonts w:ascii="宋体" w:eastAsia="宋体" w:hAnsi="宋体" w:cs="宋体"/>
          <w:b/>
          <w:bCs/>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F0097E" w:rsidRDefault="008A02DC">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F0097E" w:rsidRDefault="008A02DC">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F0097E" w:rsidRDefault="008A02DC" w:rsidP="0098224B">
            <w:pPr>
              <w:widowControl/>
              <w:spacing w:after="75" w:line="360" w:lineRule="auto"/>
              <w:ind w:firstLineChars="2550" w:firstLine="6120"/>
              <w:rPr>
                <w:rFonts w:ascii="宋体" w:eastAsia="宋体" w:hAnsi="宋体" w:cs="宋体"/>
                <w:kern w:val="0"/>
                <w:sz w:val="24"/>
                <w:szCs w:val="24"/>
              </w:rPr>
            </w:pPr>
            <w:r>
              <w:rPr>
                <w:rFonts w:ascii="宋体" w:eastAsia="宋体" w:hAnsi="宋体" w:cs="宋体" w:hint="eastAsia"/>
                <w:iCs/>
                <w:kern w:val="0"/>
                <w:sz w:val="24"/>
                <w:szCs w:val="24"/>
              </w:rPr>
              <w:t>2025年</w:t>
            </w:r>
            <w:r w:rsidR="0098224B">
              <w:rPr>
                <w:rFonts w:ascii="宋体" w:eastAsia="宋体" w:hAnsi="宋体" w:cs="宋体" w:hint="eastAsia"/>
                <w:iCs/>
                <w:kern w:val="0"/>
                <w:sz w:val="24"/>
                <w:szCs w:val="24"/>
              </w:rPr>
              <w:t>10</w:t>
            </w:r>
            <w:r>
              <w:rPr>
                <w:rFonts w:ascii="宋体" w:eastAsia="宋体" w:hAnsi="宋体" w:cs="宋体" w:hint="eastAsia"/>
                <w:iCs/>
                <w:kern w:val="0"/>
                <w:sz w:val="24"/>
                <w:szCs w:val="24"/>
              </w:rPr>
              <w:t>月1</w:t>
            </w:r>
            <w:r w:rsidR="0098224B">
              <w:rPr>
                <w:rFonts w:ascii="宋体" w:eastAsia="宋体" w:hAnsi="宋体" w:cs="宋体" w:hint="eastAsia"/>
                <w:iCs/>
                <w:kern w:val="0"/>
                <w:sz w:val="24"/>
                <w:szCs w:val="24"/>
              </w:rPr>
              <w:t>3</w:t>
            </w:r>
            <w:r>
              <w:rPr>
                <w:rFonts w:ascii="宋体" w:eastAsia="宋体" w:hAnsi="宋体" w:cs="宋体" w:hint="eastAsia"/>
                <w:iCs/>
                <w:kern w:val="0"/>
                <w:sz w:val="24"/>
                <w:szCs w:val="24"/>
              </w:rPr>
              <w:t>日</w:t>
            </w:r>
          </w:p>
        </w:tc>
      </w:tr>
    </w:tbl>
    <w:p w:rsidR="00F0097E" w:rsidRDefault="00F0097E">
      <w:pPr>
        <w:widowControl/>
        <w:shd w:val="clear" w:color="auto" w:fill="FFFFFF"/>
        <w:spacing w:after="75" w:line="360" w:lineRule="atLeast"/>
        <w:jc w:val="center"/>
        <w:rPr>
          <w:rFonts w:ascii="微软雅黑" w:eastAsia="微软雅黑" w:hAnsi="微软雅黑" w:cs="宋体"/>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21501</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hAnsi="宋体" w:cs="宋体" w:hint="eastAsia"/>
                <w:kern w:val="0"/>
                <w:szCs w:val="21"/>
              </w:rPr>
              <w:t>2022年德财富—定开宝系列（182天定开）开放式净值型人民币理财</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F0097E" w:rsidRDefault="00F0097E"/>
    <w:sectPr w:rsidR="00F0097E" w:rsidSect="00F009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233264" w15:done="0"/>
  <w15:commentEx w15:paraId="098E7621" w15:done="0"/>
  <w15:commentEx w15:paraId="45FC2817" w15:done="0"/>
  <w15:commentEx w15:paraId="364D34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481" w:rsidRDefault="00391481" w:rsidP="002D27FB">
      <w:r>
        <w:separator/>
      </w:r>
    </w:p>
  </w:endnote>
  <w:endnote w:type="continuationSeparator" w:id="1">
    <w:p w:rsidR="00391481" w:rsidRDefault="00391481" w:rsidP="002D2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481" w:rsidRDefault="00391481" w:rsidP="002D27FB">
      <w:r>
        <w:separator/>
      </w:r>
    </w:p>
  </w:footnote>
  <w:footnote w:type="continuationSeparator" w:id="1">
    <w:p w:rsidR="00391481" w:rsidRDefault="00391481" w:rsidP="002D27F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16B18"/>
    <w:rsid w:val="00067CE4"/>
    <w:rsid w:val="00081951"/>
    <w:rsid w:val="00096174"/>
    <w:rsid w:val="000B0514"/>
    <w:rsid w:val="000C69FB"/>
    <w:rsid w:val="000D2BB4"/>
    <w:rsid w:val="000F5C98"/>
    <w:rsid w:val="00100739"/>
    <w:rsid w:val="001419A2"/>
    <w:rsid w:val="0014565D"/>
    <w:rsid w:val="00154716"/>
    <w:rsid w:val="001A0F04"/>
    <w:rsid w:val="001C370C"/>
    <w:rsid w:val="002703A2"/>
    <w:rsid w:val="002C0396"/>
    <w:rsid w:val="002C6074"/>
    <w:rsid w:val="002D1C91"/>
    <w:rsid w:val="002D27FB"/>
    <w:rsid w:val="002D70B9"/>
    <w:rsid w:val="00341A0B"/>
    <w:rsid w:val="003464EF"/>
    <w:rsid w:val="00374145"/>
    <w:rsid w:val="003864DC"/>
    <w:rsid w:val="00391481"/>
    <w:rsid w:val="0039292B"/>
    <w:rsid w:val="00392C4D"/>
    <w:rsid w:val="00393119"/>
    <w:rsid w:val="003B287A"/>
    <w:rsid w:val="003E210E"/>
    <w:rsid w:val="00412B8E"/>
    <w:rsid w:val="00430D0E"/>
    <w:rsid w:val="00441864"/>
    <w:rsid w:val="00451F33"/>
    <w:rsid w:val="00473CA3"/>
    <w:rsid w:val="004800F4"/>
    <w:rsid w:val="004928F8"/>
    <w:rsid w:val="004C77D3"/>
    <w:rsid w:val="00503CF1"/>
    <w:rsid w:val="00520C87"/>
    <w:rsid w:val="00554478"/>
    <w:rsid w:val="005C2C08"/>
    <w:rsid w:val="005E3435"/>
    <w:rsid w:val="005F496E"/>
    <w:rsid w:val="005F5E14"/>
    <w:rsid w:val="006225AA"/>
    <w:rsid w:val="00631F3A"/>
    <w:rsid w:val="00636712"/>
    <w:rsid w:val="006550ED"/>
    <w:rsid w:val="0066429F"/>
    <w:rsid w:val="00673CB4"/>
    <w:rsid w:val="0067651F"/>
    <w:rsid w:val="00680BA1"/>
    <w:rsid w:val="006E6576"/>
    <w:rsid w:val="006F0331"/>
    <w:rsid w:val="006F167C"/>
    <w:rsid w:val="006F4513"/>
    <w:rsid w:val="007110DF"/>
    <w:rsid w:val="00742226"/>
    <w:rsid w:val="00747BBF"/>
    <w:rsid w:val="00754E3E"/>
    <w:rsid w:val="0077713C"/>
    <w:rsid w:val="00777B03"/>
    <w:rsid w:val="007954B5"/>
    <w:rsid w:val="007A4C2F"/>
    <w:rsid w:val="007D4FE8"/>
    <w:rsid w:val="007E0BCB"/>
    <w:rsid w:val="007F2A85"/>
    <w:rsid w:val="007F5EA3"/>
    <w:rsid w:val="00805151"/>
    <w:rsid w:val="00805672"/>
    <w:rsid w:val="00815141"/>
    <w:rsid w:val="0086421F"/>
    <w:rsid w:val="00867AC1"/>
    <w:rsid w:val="00870F31"/>
    <w:rsid w:val="008774D4"/>
    <w:rsid w:val="008A02DC"/>
    <w:rsid w:val="008B303C"/>
    <w:rsid w:val="00906D51"/>
    <w:rsid w:val="009374A2"/>
    <w:rsid w:val="00940D15"/>
    <w:rsid w:val="00972697"/>
    <w:rsid w:val="009816D1"/>
    <w:rsid w:val="0098224B"/>
    <w:rsid w:val="00982F2F"/>
    <w:rsid w:val="009B17E7"/>
    <w:rsid w:val="009B2325"/>
    <w:rsid w:val="00A053F4"/>
    <w:rsid w:val="00A51E79"/>
    <w:rsid w:val="00A538D8"/>
    <w:rsid w:val="00A7229E"/>
    <w:rsid w:val="00AC0B43"/>
    <w:rsid w:val="00AF746B"/>
    <w:rsid w:val="00B3217C"/>
    <w:rsid w:val="00B47EF9"/>
    <w:rsid w:val="00B544DF"/>
    <w:rsid w:val="00B7317B"/>
    <w:rsid w:val="00B76785"/>
    <w:rsid w:val="00B82D04"/>
    <w:rsid w:val="00BC415B"/>
    <w:rsid w:val="00BE491C"/>
    <w:rsid w:val="00BF174D"/>
    <w:rsid w:val="00C02253"/>
    <w:rsid w:val="00C12F36"/>
    <w:rsid w:val="00C24697"/>
    <w:rsid w:val="00C339E1"/>
    <w:rsid w:val="00C36D68"/>
    <w:rsid w:val="00C61C54"/>
    <w:rsid w:val="00C764BA"/>
    <w:rsid w:val="00CA4AA7"/>
    <w:rsid w:val="00CB30FB"/>
    <w:rsid w:val="00CC7C43"/>
    <w:rsid w:val="00CE4FD0"/>
    <w:rsid w:val="00D1371D"/>
    <w:rsid w:val="00D30B66"/>
    <w:rsid w:val="00D6300F"/>
    <w:rsid w:val="00D960C2"/>
    <w:rsid w:val="00DA6481"/>
    <w:rsid w:val="00DB33A9"/>
    <w:rsid w:val="00DB7210"/>
    <w:rsid w:val="00DC1A24"/>
    <w:rsid w:val="00DD1553"/>
    <w:rsid w:val="00E03F14"/>
    <w:rsid w:val="00E141FA"/>
    <w:rsid w:val="00E31F8D"/>
    <w:rsid w:val="00E57264"/>
    <w:rsid w:val="00E61FFE"/>
    <w:rsid w:val="00E805AF"/>
    <w:rsid w:val="00E80806"/>
    <w:rsid w:val="00EA57FC"/>
    <w:rsid w:val="00F0097E"/>
    <w:rsid w:val="00F05ED3"/>
    <w:rsid w:val="00F13775"/>
    <w:rsid w:val="00F44BD5"/>
    <w:rsid w:val="00F55714"/>
    <w:rsid w:val="00F6606D"/>
    <w:rsid w:val="00F842C1"/>
    <w:rsid w:val="00F96D0D"/>
    <w:rsid w:val="00FB68C7"/>
    <w:rsid w:val="00FE1774"/>
    <w:rsid w:val="00FE3153"/>
    <w:rsid w:val="00FE391C"/>
    <w:rsid w:val="04E869FE"/>
    <w:rsid w:val="07CE4D01"/>
    <w:rsid w:val="35081112"/>
    <w:rsid w:val="50661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F0097E"/>
    <w:pPr>
      <w:jc w:val="left"/>
    </w:pPr>
  </w:style>
  <w:style w:type="paragraph" w:styleId="a4">
    <w:name w:val="Balloon Text"/>
    <w:basedOn w:val="a"/>
    <w:link w:val="Char"/>
    <w:uiPriority w:val="99"/>
    <w:semiHidden/>
    <w:unhideWhenUsed/>
    <w:rsid w:val="00F0097E"/>
    <w:rPr>
      <w:sz w:val="18"/>
      <w:szCs w:val="18"/>
    </w:rPr>
  </w:style>
  <w:style w:type="paragraph" w:styleId="a5">
    <w:name w:val="footer"/>
    <w:basedOn w:val="a"/>
    <w:link w:val="Char0"/>
    <w:uiPriority w:val="99"/>
    <w:semiHidden/>
    <w:unhideWhenUsed/>
    <w:rsid w:val="00F0097E"/>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F0097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F0097E"/>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F0097E"/>
    <w:rPr>
      <w:sz w:val="21"/>
      <w:szCs w:val="21"/>
    </w:rPr>
  </w:style>
  <w:style w:type="character" w:customStyle="1" w:styleId="Char1">
    <w:name w:val="页眉 Char"/>
    <w:basedOn w:val="a0"/>
    <w:link w:val="a6"/>
    <w:uiPriority w:val="99"/>
    <w:semiHidden/>
    <w:rsid w:val="00F0097E"/>
    <w:rPr>
      <w:sz w:val="18"/>
      <w:szCs w:val="18"/>
    </w:rPr>
  </w:style>
  <w:style w:type="character" w:customStyle="1" w:styleId="Char0">
    <w:name w:val="页脚 Char"/>
    <w:basedOn w:val="a0"/>
    <w:link w:val="a5"/>
    <w:uiPriority w:val="99"/>
    <w:semiHidden/>
    <w:rsid w:val="00F0097E"/>
    <w:rPr>
      <w:sz w:val="18"/>
      <w:szCs w:val="18"/>
    </w:rPr>
  </w:style>
  <w:style w:type="character" w:customStyle="1" w:styleId="Char">
    <w:name w:val="批注框文本 Char"/>
    <w:basedOn w:val="a0"/>
    <w:link w:val="a4"/>
    <w:uiPriority w:val="99"/>
    <w:semiHidden/>
    <w:rsid w:val="00F0097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03011050">
      <w:bodyDiv w:val="1"/>
      <w:marLeft w:val="0"/>
      <w:marRight w:val="0"/>
      <w:marTop w:val="0"/>
      <w:marBottom w:val="0"/>
      <w:divBdr>
        <w:top w:val="none" w:sz="0" w:space="0" w:color="auto"/>
        <w:left w:val="none" w:sz="0" w:space="0" w:color="auto"/>
        <w:bottom w:val="none" w:sz="0" w:space="0" w:color="auto"/>
        <w:right w:val="none" w:sz="0" w:space="0" w:color="auto"/>
      </w:divBdr>
    </w:div>
    <w:div w:id="156548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393</Words>
  <Characters>2244</Characters>
  <Application>Microsoft Office Word</Application>
  <DocSecurity>0</DocSecurity>
  <Lines>18</Lines>
  <Paragraphs>5</Paragraphs>
  <ScaleCrop>false</ScaleCrop>
  <Company>Microsoft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dcterms:created xsi:type="dcterms:W3CDTF">2024-01-08T04:48:00Z</dcterms:created>
  <dcterms:modified xsi:type="dcterms:W3CDTF">2025-10-11T02:59:00Z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62498387E9374935853575431B158277</vt:lpwstr>
  </property>
</Properties>
</file>