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德财富-定开宝183天理财产品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w:t>
      </w:r>
      <w:r>
        <w:rPr>
          <w:rFonts w:hint="eastAsia" w:ascii="宋体" w:hAnsi="宋体"/>
          <w:b/>
          <w:bCs/>
          <w:sz w:val="48"/>
          <w:szCs w:val="30"/>
        </w:rPr>
        <w:t>年度报告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 2026 年 1月13日复核了本报告中的收益表现和投资组合报告等财务数据，保证复核内容不存在虚假记载、误导性陈述或者重大遗漏。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w:t>
            </w:r>
            <w:r>
              <w:t xml:space="preserve">月 1 日至 </w:t>
            </w:r>
            <w:r>
              <w:rPr>
                <w:rFonts w:hint="eastAsia"/>
              </w:rPr>
              <w:t>12</w:t>
            </w:r>
            <w:r>
              <w:t>月 3</w:t>
            </w:r>
            <w:r>
              <w:rPr>
                <w:rFonts w:hint="eastAsia"/>
              </w:rPr>
              <w:t>1</w:t>
            </w:r>
            <w:r>
              <w:t>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b/>
                <w:bCs/>
                <w:kern w:val="0"/>
                <w:sz w:val="24"/>
                <w:szCs w:val="24"/>
              </w:rPr>
              <w:t>德财富-定开宝183天理财产品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DCFD23003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C1090323000003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203</w:t>
            </w:r>
            <w:r>
              <w:rPr>
                <w:rFonts w:hint="eastAsia" w:ascii="宋体" w:hAnsi="宋体" w:eastAsia="宋体" w:cs="宋体"/>
                <w:kern w:val="0"/>
                <w:sz w:val="24"/>
                <w:szCs w:val="24"/>
              </w:rPr>
              <w:t>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2.4</w:t>
            </w:r>
            <w:r>
              <w:rPr>
                <w:rFonts w:ascii="宋体" w:hAnsi="宋体" w:eastAsia="宋体" w:cs="宋体"/>
                <w:kern w:val="0"/>
                <w:sz w:val="24"/>
                <w:szCs w:val="24"/>
              </w:rPr>
              <w:t>%</w:t>
            </w:r>
          </w:p>
        </w:tc>
      </w:tr>
    </w:tbl>
    <w:p>
      <w:pPr>
        <w:widowControl/>
        <w:shd w:val="clear" w:color="auto" w:fill="FFFFFF"/>
        <w:spacing w:after="75" w:line="360" w:lineRule="atLeast"/>
        <w:jc w:val="center"/>
        <w:rPr>
          <w:rFonts w:ascii="宋体" w:hAnsi="宋体" w:eastAsia="宋体" w:cs="宋体"/>
          <w:b/>
          <w:bCs/>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2.1 </w:t>
      </w:r>
      <w:r>
        <w:rPr>
          <w:rFonts w:hint="eastAsia" w:ascii="宋体" w:hAnsi="宋体" w:eastAsia="宋体" w:cs="宋体"/>
          <w:b/>
          <w:bCs/>
          <w:color w:val="000000"/>
          <w:kern w:val="0"/>
          <w:sz w:val="27"/>
          <w:szCs w:val="27"/>
        </w:rPr>
        <w:t>产品净值及存续规模</w:t>
      </w:r>
    </w:p>
    <w:tbl>
      <w:tblPr>
        <w:tblStyle w:val="7"/>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905"/>
        <w:gridCol w:w="1671"/>
        <w:gridCol w:w="1516"/>
        <w:gridCol w:w="1530"/>
        <w:gridCol w:w="17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产品代码</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估值日期</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单位净值</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累计净值</w:t>
            </w:r>
          </w:p>
        </w:tc>
        <w:tc>
          <w:tcPr>
            <w:tcW w:w="178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hint="eastAsia" w:ascii="宋体" w:hAnsi="宋体" w:eastAsia="宋体" w:cs="宋体"/>
                <w:kern w:val="0"/>
                <w:sz w:val="24"/>
                <w:szCs w:val="24"/>
              </w:rPr>
              <w:t>DCFD23003</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bCs/>
                <w:kern w:val="0"/>
                <w:sz w:val="24"/>
                <w:szCs w:val="24"/>
              </w:rPr>
            </w:pPr>
            <w:r>
              <w:rPr>
                <w:rFonts w:ascii="宋体" w:hAnsi="宋体" w:eastAsia="宋体" w:cs="宋体"/>
                <w:bCs/>
                <w:kern w:val="0"/>
                <w:sz w:val="24"/>
                <w:szCs w:val="24"/>
              </w:rPr>
              <w:t>1.089555</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Cs/>
                <w:kern w:val="0"/>
                <w:sz w:val="24"/>
                <w:szCs w:val="24"/>
              </w:rPr>
              <w:t>1.089555</w:t>
            </w:r>
          </w:p>
        </w:tc>
        <w:tc>
          <w:tcPr>
            <w:tcW w:w="178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bCs/>
                <w:kern w:val="0"/>
                <w:sz w:val="24"/>
                <w:szCs w:val="24"/>
              </w:rPr>
            </w:pPr>
            <w:r>
              <w:rPr>
                <w:rFonts w:ascii="宋体" w:hAnsi="宋体" w:eastAsia="宋体" w:cs="宋体"/>
                <w:bCs/>
                <w:kern w:val="0"/>
                <w:sz w:val="24"/>
                <w:szCs w:val="24"/>
              </w:rPr>
              <w:t>33988.88</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2.2 </w:t>
      </w:r>
      <w:r>
        <w:rPr>
          <w:rFonts w:hint="eastAsia" w:ascii="宋体" w:hAnsi="宋体" w:eastAsia="宋体" w:cs="宋体"/>
          <w:b/>
          <w:bCs/>
          <w:color w:val="000000"/>
          <w:kern w:val="0"/>
          <w:sz w:val="27"/>
          <w:szCs w:val="27"/>
        </w:rPr>
        <w:t>期末产品资产情况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164"/>
        <w:gridCol w:w="4265"/>
        <w:gridCol w:w="1498"/>
        <w:gridCol w:w="143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资产类别</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6.65</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2</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8.72</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3</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7.6</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Cs/>
                <w:kern w:val="0"/>
                <w:sz w:val="24"/>
                <w:szCs w:val="24"/>
              </w:rPr>
              <w:t>4</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79.75</w:t>
            </w:r>
          </w:p>
        </w:tc>
        <w:tc>
          <w:tcPr>
            <w:tcW w:w="1439"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5</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6</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7</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8</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9</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10</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11</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16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12</w:t>
            </w:r>
          </w:p>
        </w:tc>
        <w:tc>
          <w:tcPr>
            <w:tcW w:w="426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 xml:space="preserve">    截至报告期末本产品杠杆率为</w:t>
      </w:r>
      <w:r>
        <w:rPr>
          <w:rFonts w:hint="eastAsia" w:ascii="微软雅黑" w:hAnsi="微软雅黑" w:eastAsia="微软雅黑" w:cs="宋体"/>
          <w:color w:val="000000"/>
          <w:kern w:val="0"/>
          <w:sz w:val="27"/>
          <w:szCs w:val="27"/>
        </w:rPr>
        <w:t>102.72%。</w:t>
      </w:r>
    </w:p>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 xml:space="preserve">  2.3 </w:t>
      </w:r>
      <w:r>
        <w:rPr>
          <w:rFonts w:hint="eastAsia" w:ascii="宋体" w:hAnsi="宋体" w:eastAsia="宋体" w:cs="宋体"/>
          <w:b/>
          <w:bCs/>
          <w:color w:val="000000"/>
          <w:kern w:val="0"/>
          <w:sz w:val="27"/>
          <w:szCs w:val="27"/>
        </w:rPr>
        <w:t>期末产品持有的前十项资产</w:t>
      </w:r>
    </w:p>
    <w:tbl>
      <w:tblPr>
        <w:tblStyle w:val="7"/>
        <w:tblW w:w="7242" w:type="dxa"/>
        <w:jc w:val="center"/>
        <w:tblLayout w:type="autofit"/>
        <w:tblCellMar>
          <w:top w:w="0" w:type="dxa"/>
          <w:left w:w="108" w:type="dxa"/>
          <w:bottom w:w="0" w:type="dxa"/>
          <w:right w:w="108" w:type="dxa"/>
        </w:tblCellMar>
      </w:tblPr>
      <w:tblGrid>
        <w:gridCol w:w="721"/>
        <w:gridCol w:w="3106"/>
        <w:gridCol w:w="1311"/>
        <w:gridCol w:w="2104"/>
      </w:tblGrid>
      <w:tr>
        <w:tblPrEx>
          <w:tblCellMar>
            <w:top w:w="0" w:type="dxa"/>
            <w:left w:w="108" w:type="dxa"/>
            <w:bottom w:w="0" w:type="dxa"/>
            <w:right w:w="108" w:type="dxa"/>
          </w:tblCellMar>
        </w:tblPrEx>
        <w:trPr>
          <w:trHeight w:val="466" w:hRule="atLeast"/>
          <w:jc w:val="center"/>
        </w:trPr>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106"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资产名称</w:t>
            </w:r>
          </w:p>
        </w:tc>
        <w:tc>
          <w:tcPr>
            <w:tcW w:w="1311"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资产类别</w:t>
            </w:r>
          </w:p>
        </w:tc>
        <w:tc>
          <w:tcPr>
            <w:tcW w:w="2104"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占净资产的比例</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21宁津01</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9.33%</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22</w:t>
            </w:r>
            <w:r>
              <w:rPr>
                <w:rFonts w:hint="eastAsia" w:cs="Times New Roman"/>
                <w:b/>
                <w:bCs/>
                <w:sz w:val="22"/>
              </w:rPr>
              <w:t>淄博城资</w:t>
            </w:r>
            <w:r>
              <w:rPr>
                <w:rFonts w:ascii="Times New Roman" w:hAnsi="Times New Roman" w:cs="Times New Roman"/>
                <w:b/>
                <w:bCs/>
                <w:sz w:val="22"/>
              </w:rPr>
              <w:t>PPN001</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9.29%</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hint="eastAsia" w:cs="Times New Roman"/>
                <w:b/>
                <w:bCs/>
                <w:sz w:val="22"/>
              </w:rPr>
              <w:t>山招</w:t>
            </w:r>
            <w:r>
              <w:rPr>
                <w:rFonts w:ascii="Times New Roman" w:hAnsi="Times New Roman" w:cs="Times New Roman"/>
                <w:b/>
                <w:bCs/>
                <w:sz w:val="22"/>
              </w:rPr>
              <w:t>YK02</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9.19%</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23</w:t>
            </w:r>
            <w:r>
              <w:rPr>
                <w:rFonts w:hint="eastAsia" w:cs="Times New Roman"/>
                <w:b/>
                <w:bCs/>
                <w:sz w:val="22"/>
              </w:rPr>
              <w:t>财发</w:t>
            </w:r>
            <w:r>
              <w:rPr>
                <w:rFonts w:ascii="Times New Roman" w:hAnsi="Times New Roman" w:cs="Times New Roman"/>
                <w:b/>
                <w:bCs/>
                <w:sz w:val="22"/>
              </w:rPr>
              <w:t>01</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8.96%</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鲁公</w:t>
            </w:r>
            <w:r>
              <w:rPr>
                <w:rFonts w:ascii="Times New Roman" w:hAnsi="Times New Roman" w:cs="Times New Roman"/>
                <w:b/>
                <w:bCs/>
                <w:sz w:val="22"/>
              </w:rPr>
              <w:t>V1</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6.38%</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山东公用</w:t>
            </w:r>
            <w:r>
              <w:rPr>
                <w:rFonts w:ascii="Times New Roman" w:hAnsi="Times New Roman" w:cs="Times New Roman"/>
                <w:b/>
                <w:bCs/>
                <w:sz w:val="22"/>
              </w:rPr>
              <w:t>PPN002</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6.30%</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北部湾银行小微债</w:t>
            </w:r>
            <w:r>
              <w:rPr>
                <w:rFonts w:ascii="Times New Roman" w:hAnsi="Times New Roman" w:cs="Times New Roman"/>
                <w:b/>
                <w:bCs/>
                <w:sz w:val="22"/>
              </w:rPr>
              <w:t>02</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6.07%</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23</w:t>
            </w:r>
            <w:r>
              <w:rPr>
                <w:rFonts w:hint="eastAsia" w:cs="Times New Roman"/>
                <w:b/>
                <w:bCs/>
                <w:sz w:val="22"/>
              </w:rPr>
              <w:t>临沂城投</w:t>
            </w:r>
            <w:r>
              <w:rPr>
                <w:rFonts w:ascii="Times New Roman" w:hAnsi="Times New Roman" w:cs="Times New Roman"/>
                <w:b/>
                <w:bCs/>
                <w:sz w:val="22"/>
              </w:rPr>
              <w:t>MTN002</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6.02%</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聊城财信</w:t>
            </w:r>
            <w:r>
              <w:rPr>
                <w:rFonts w:ascii="Times New Roman" w:hAnsi="Times New Roman" w:cs="Times New Roman"/>
                <w:b/>
                <w:bCs/>
                <w:sz w:val="22"/>
              </w:rPr>
              <w:t>PPN001</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5.95%</w:t>
            </w:r>
          </w:p>
        </w:tc>
      </w:tr>
      <w:tr>
        <w:tblPrEx>
          <w:tblCellMar>
            <w:top w:w="0" w:type="dxa"/>
            <w:left w:w="108" w:type="dxa"/>
            <w:bottom w:w="0" w:type="dxa"/>
            <w:right w:w="108" w:type="dxa"/>
          </w:tblCellMar>
        </w:tblPrEx>
        <w:trPr>
          <w:trHeight w:val="466" w:hRule="atLeast"/>
          <w:jc w:val="center"/>
        </w:trPr>
        <w:tc>
          <w:tcPr>
            <w:tcW w:w="72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3106" w:type="dxa"/>
            <w:tcBorders>
              <w:top w:val="nil"/>
              <w:left w:val="nil"/>
              <w:bottom w:val="single" w:color="000000" w:sz="8" w:space="0"/>
              <w:right w:val="single" w:color="000000" w:sz="8" w:space="0"/>
            </w:tcBorders>
            <w:shd w:val="clear" w:color="auto" w:fill="auto"/>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浙江民泰商行</w:t>
            </w:r>
            <w:r>
              <w:rPr>
                <w:rFonts w:ascii="Times New Roman" w:hAnsi="Times New Roman" w:cs="Times New Roman"/>
                <w:b/>
                <w:bCs/>
                <w:sz w:val="22"/>
              </w:rPr>
              <w:t>CD146</w:t>
            </w:r>
          </w:p>
        </w:tc>
        <w:tc>
          <w:tcPr>
            <w:tcW w:w="1311"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2104"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5.79%</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after="75" w:line="360" w:lineRule="atLeast"/>
        <w:rPr>
          <w:rFonts w:ascii="微软雅黑" w:hAnsi="微软雅黑" w:eastAsia="微软雅黑" w:cs="宋体"/>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 xml:space="preserve">    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 xml:space="preserve">    （1）理财产品投资与本公司或托管机构有重大利害关系的机构发行或承销的证券</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line="360" w:lineRule="atLeast"/>
        <w:rPr>
          <w:rFonts w:ascii="宋体" w:hAnsi="宋体" w:eastAsia="宋体" w:cs="宋体"/>
          <w:iCs/>
          <w:color w:val="000000"/>
          <w:kern w:val="0"/>
          <w:sz w:val="27"/>
          <w:szCs w:val="27"/>
        </w:rPr>
      </w:pPr>
    </w:p>
    <w:p>
      <w:pPr>
        <w:widowControl/>
        <w:shd w:val="clear" w:color="auto" w:fill="FFFFFF"/>
        <w:spacing w:after="75" w:line="360" w:lineRule="atLeast"/>
        <w:jc w:val="center"/>
        <w:rPr>
          <w:rFonts w:ascii="宋体" w:hAnsi="宋体" w:eastAsia="宋体" w:cs="宋体"/>
          <w:b/>
          <w:bCs/>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3.1 报告期内产品投资策略</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3.2 产品未来表现展望</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3.3 产品流动性风险分析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  3.4 </w:t>
      </w:r>
      <w:r>
        <w:rPr>
          <w:rFonts w:ascii="微软雅黑" w:hAnsi="微软雅黑" w:eastAsia="微软雅黑" w:cs="宋体"/>
          <w:b/>
          <w:bCs/>
          <w:color w:val="000000"/>
          <w:kern w:val="0"/>
          <w:sz w:val="27"/>
          <w:szCs w:val="27"/>
        </w:rPr>
        <w:t>理财投资组合其它风险分析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spacing w:line="360" w:lineRule="atLeast"/>
        <w:jc w:val="center"/>
        <w:rPr>
          <w:rFonts w:ascii="宋体" w:hAnsi="宋体" w:eastAsia="宋体" w:cs="宋体"/>
          <w:b/>
          <w:bCs/>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120" w:firstLineChars="2550"/>
              <w:rPr>
                <w:rFonts w:ascii="宋体" w:hAnsi="宋体" w:eastAsia="宋体" w:cs="宋体"/>
                <w:kern w:val="0"/>
                <w:sz w:val="24"/>
                <w:szCs w:val="24"/>
              </w:rPr>
            </w:pPr>
            <w:r>
              <w:rPr>
                <w:rFonts w:hint="eastAsia" w:ascii="宋体" w:hAnsi="宋体" w:eastAsia="宋体" w:cs="宋体"/>
                <w:iCs/>
                <w:kern w:val="0"/>
                <w:sz w:val="24"/>
                <w:szCs w:val="24"/>
              </w:rPr>
              <w:t>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spacing w:after="75" w:line="360" w:lineRule="atLeast"/>
        <w:jc w:val="center"/>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7"/>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739"/>
        <w:gridCol w:w="1134"/>
        <w:gridCol w:w="2410"/>
        <w:gridCol w:w="2549"/>
        <w:gridCol w:w="153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7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11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账户类型</w:t>
            </w:r>
          </w:p>
        </w:tc>
        <w:tc>
          <w:tcPr>
            <w:tcW w:w="241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账户编号</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账户名称</w:t>
            </w:r>
          </w:p>
        </w:tc>
        <w:tc>
          <w:tcPr>
            <w:tcW w:w="15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7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bCs/>
                <w:kern w:val="0"/>
                <w:sz w:val="24"/>
                <w:szCs w:val="24"/>
              </w:rPr>
              <w:t>1</w:t>
            </w:r>
          </w:p>
        </w:tc>
        <w:tc>
          <w:tcPr>
            <w:tcW w:w="11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资金托管账户</w:t>
            </w:r>
          </w:p>
        </w:tc>
        <w:tc>
          <w:tcPr>
            <w:tcW w:w="241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376020100100241</w:t>
            </w:r>
            <w:r>
              <w:rPr>
                <w:rFonts w:hint="eastAsia" w:ascii="宋体" w:hAnsi="宋体" w:eastAsia="宋体" w:cs="宋体"/>
                <w:kern w:val="0"/>
                <w:sz w:val="24"/>
                <w:szCs w:val="24"/>
              </w:rPr>
              <w:t>541</w:t>
            </w:r>
          </w:p>
        </w:tc>
        <w:tc>
          <w:tcPr>
            <w:tcW w:w="254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德财富-定开宝183天理财产品</w:t>
            </w:r>
          </w:p>
        </w:tc>
        <w:tc>
          <w:tcPr>
            <w:tcW w:w="1534"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2F36"/>
    <w:rsid w:val="000348A3"/>
    <w:rsid w:val="00034AE8"/>
    <w:rsid w:val="00054DB4"/>
    <w:rsid w:val="00061839"/>
    <w:rsid w:val="00064E5D"/>
    <w:rsid w:val="0006632C"/>
    <w:rsid w:val="00074E58"/>
    <w:rsid w:val="000958E1"/>
    <w:rsid w:val="000D61FE"/>
    <w:rsid w:val="00111BDA"/>
    <w:rsid w:val="00134E96"/>
    <w:rsid w:val="001419A2"/>
    <w:rsid w:val="00154716"/>
    <w:rsid w:val="0015516B"/>
    <w:rsid w:val="00242700"/>
    <w:rsid w:val="002C6F09"/>
    <w:rsid w:val="002C7194"/>
    <w:rsid w:val="002D70B9"/>
    <w:rsid w:val="003459F4"/>
    <w:rsid w:val="00361D53"/>
    <w:rsid w:val="00374145"/>
    <w:rsid w:val="00375348"/>
    <w:rsid w:val="00380E4D"/>
    <w:rsid w:val="00385B5A"/>
    <w:rsid w:val="003864DC"/>
    <w:rsid w:val="003B287A"/>
    <w:rsid w:val="003E210E"/>
    <w:rsid w:val="00435C03"/>
    <w:rsid w:val="00473CA3"/>
    <w:rsid w:val="004758C0"/>
    <w:rsid w:val="004A649B"/>
    <w:rsid w:val="004B1E82"/>
    <w:rsid w:val="004C23D2"/>
    <w:rsid w:val="00544CA7"/>
    <w:rsid w:val="00550B18"/>
    <w:rsid w:val="0055422A"/>
    <w:rsid w:val="00554478"/>
    <w:rsid w:val="00593030"/>
    <w:rsid w:val="005A3BFA"/>
    <w:rsid w:val="005C18B1"/>
    <w:rsid w:val="005D7C65"/>
    <w:rsid w:val="005F496E"/>
    <w:rsid w:val="00615F11"/>
    <w:rsid w:val="006225AA"/>
    <w:rsid w:val="0066429F"/>
    <w:rsid w:val="00664981"/>
    <w:rsid w:val="00671BE1"/>
    <w:rsid w:val="0067651F"/>
    <w:rsid w:val="00684AA0"/>
    <w:rsid w:val="006E6576"/>
    <w:rsid w:val="006F4D40"/>
    <w:rsid w:val="006F7604"/>
    <w:rsid w:val="00707477"/>
    <w:rsid w:val="00711145"/>
    <w:rsid w:val="00712BDD"/>
    <w:rsid w:val="0074671F"/>
    <w:rsid w:val="0075343C"/>
    <w:rsid w:val="00757B2D"/>
    <w:rsid w:val="00773E06"/>
    <w:rsid w:val="00791BD6"/>
    <w:rsid w:val="007B4F6A"/>
    <w:rsid w:val="007D4FE8"/>
    <w:rsid w:val="007E05E4"/>
    <w:rsid w:val="007F2A85"/>
    <w:rsid w:val="00805672"/>
    <w:rsid w:val="008369AC"/>
    <w:rsid w:val="008428FD"/>
    <w:rsid w:val="00897FB2"/>
    <w:rsid w:val="008A6EF7"/>
    <w:rsid w:val="008F4010"/>
    <w:rsid w:val="008F63BF"/>
    <w:rsid w:val="00912EAD"/>
    <w:rsid w:val="009340FD"/>
    <w:rsid w:val="009374A2"/>
    <w:rsid w:val="009855C2"/>
    <w:rsid w:val="009B1D7C"/>
    <w:rsid w:val="009D3545"/>
    <w:rsid w:val="009D465F"/>
    <w:rsid w:val="00A053F4"/>
    <w:rsid w:val="00A2529D"/>
    <w:rsid w:val="00A51E79"/>
    <w:rsid w:val="00A538D8"/>
    <w:rsid w:val="00A54B38"/>
    <w:rsid w:val="00A557A5"/>
    <w:rsid w:val="00A75DEE"/>
    <w:rsid w:val="00A96840"/>
    <w:rsid w:val="00AA2BBD"/>
    <w:rsid w:val="00AE4A6E"/>
    <w:rsid w:val="00AF746B"/>
    <w:rsid w:val="00B47223"/>
    <w:rsid w:val="00B47BF4"/>
    <w:rsid w:val="00B621B4"/>
    <w:rsid w:val="00B82D04"/>
    <w:rsid w:val="00BA1374"/>
    <w:rsid w:val="00BD64D4"/>
    <w:rsid w:val="00BE1981"/>
    <w:rsid w:val="00BE532A"/>
    <w:rsid w:val="00BE782F"/>
    <w:rsid w:val="00BF174D"/>
    <w:rsid w:val="00C01F3A"/>
    <w:rsid w:val="00C02253"/>
    <w:rsid w:val="00C12F36"/>
    <w:rsid w:val="00C232F1"/>
    <w:rsid w:val="00C25E67"/>
    <w:rsid w:val="00C27AA0"/>
    <w:rsid w:val="00C939A6"/>
    <w:rsid w:val="00CA6664"/>
    <w:rsid w:val="00CB579E"/>
    <w:rsid w:val="00D0343A"/>
    <w:rsid w:val="00D072FE"/>
    <w:rsid w:val="00D1371D"/>
    <w:rsid w:val="00D274EA"/>
    <w:rsid w:val="00D30B66"/>
    <w:rsid w:val="00D30CC6"/>
    <w:rsid w:val="00D4074D"/>
    <w:rsid w:val="00D47C6C"/>
    <w:rsid w:val="00D64F4D"/>
    <w:rsid w:val="00D72B12"/>
    <w:rsid w:val="00D72EAA"/>
    <w:rsid w:val="00D74BCE"/>
    <w:rsid w:val="00D759B9"/>
    <w:rsid w:val="00DA4764"/>
    <w:rsid w:val="00DA6481"/>
    <w:rsid w:val="00DB33A9"/>
    <w:rsid w:val="00DC1A24"/>
    <w:rsid w:val="00E141FA"/>
    <w:rsid w:val="00E35834"/>
    <w:rsid w:val="00E35A4F"/>
    <w:rsid w:val="00E5020D"/>
    <w:rsid w:val="00E507F7"/>
    <w:rsid w:val="00E64B34"/>
    <w:rsid w:val="00E76C5E"/>
    <w:rsid w:val="00E80806"/>
    <w:rsid w:val="00EE6CD9"/>
    <w:rsid w:val="00F13775"/>
    <w:rsid w:val="00F14915"/>
    <w:rsid w:val="00F30B64"/>
    <w:rsid w:val="00F54F3C"/>
    <w:rsid w:val="00F56415"/>
    <w:rsid w:val="00F76319"/>
    <w:rsid w:val="00F96D0D"/>
    <w:rsid w:val="00FA62DA"/>
    <w:rsid w:val="00FB68C7"/>
    <w:rsid w:val="00FE6307"/>
    <w:rsid w:val="60AD08DD"/>
    <w:rsid w:val="69B86E2B"/>
    <w:rsid w:val="784A2A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uiPriority w:val="99"/>
    <w:rPr>
      <w:sz w:val="21"/>
      <w:szCs w:val="21"/>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383</Words>
  <Characters>2185</Characters>
  <Lines>18</Lines>
  <Paragraphs>5</Paragraphs>
  <TotalTime>157</TotalTime>
  <ScaleCrop>false</ScaleCrop>
  <LinksUpToDate>false</LinksUpToDate>
  <CharactersWithSpaces>2563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2024-01-08T04:48:00Z</dcterms:created>
  <dc:creator>Administrator</dc:creator>
  <cp:lastModifiedBy>Administrator</cp:lastModifiedBy>
  <dcterms:modified xsi:type="dcterms:W3CDTF">2026-01-12T02:43:33Z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3AB874BDE9A94E82BDBFB58D78862890</vt:lpwstr>
  </property>
</Properties>
</file>