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z w:val="48"/>
          <w:szCs w:val="30"/>
        </w:rPr>
      </w:pPr>
    </w:p>
    <w:p>
      <w:pPr>
        <w:jc w:val="center"/>
        <w:rPr>
          <w:rFonts w:ascii="宋体" w:hAnsi="宋体"/>
          <w:b/>
          <w:bCs/>
          <w:sz w:val="48"/>
          <w:szCs w:val="30"/>
        </w:rPr>
      </w:pPr>
    </w:p>
    <w:p>
      <w:pPr>
        <w:jc w:val="center"/>
        <w:rPr>
          <w:rFonts w:ascii="宋体" w:hAnsi="宋体"/>
          <w:b/>
          <w:bCs/>
          <w:sz w:val="48"/>
          <w:szCs w:val="30"/>
        </w:rPr>
      </w:pPr>
    </w:p>
    <w:p>
      <w:pPr>
        <w:rPr>
          <w:rFonts w:ascii="宋体" w:hAnsi="宋体"/>
          <w:b/>
          <w:bCs/>
          <w:sz w:val="48"/>
          <w:szCs w:val="30"/>
        </w:rPr>
      </w:pPr>
    </w:p>
    <w:p>
      <w:pPr>
        <w:jc w:val="center"/>
        <w:rPr>
          <w:rFonts w:ascii="宋体" w:hAnsi="宋体"/>
          <w:b/>
          <w:bCs/>
          <w:sz w:val="48"/>
          <w:szCs w:val="30"/>
        </w:rPr>
      </w:pPr>
      <w:r>
        <w:rPr>
          <w:rFonts w:hint="eastAsia" w:ascii="宋体" w:hAnsi="宋体"/>
          <w:b/>
          <w:bCs/>
          <w:sz w:val="48"/>
          <w:szCs w:val="30"/>
        </w:rPr>
        <w:t>2022年德财富—定开宝系列（182天定开）开放式净值型人民币理财产品</w:t>
      </w:r>
    </w:p>
    <w:p>
      <w:pPr>
        <w:jc w:val="center"/>
        <w:rPr>
          <w:rFonts w:ascii="宋体" w:hAnsi="宋体"/>
          <w:b/>
          <w:bCs/>
          <w:sz w:val="48"/>
          <w:szCs w:val="30"/>
        </w:rPr>
      </w:pPr>
      <w:r>
        <w:rPr>
          <w:rFonts w:ascii="宋体" w:hAnsi="宋体"/>
          <w:b/>
          <w:bCs/>
          <w:sz w:val="48"/>
          <w:szCs w:val="30"/>
        </w:rPr>
        <w:t>202</w:t>
      </w:r>
      <w:r>
        <w:rPr>
          <w:rFonts w:hint="eastAsia" w:ascii="宋体" w:hAnsi="宋体"/>
          <w:b/>
          <w:bCs/>
          <w:sz w:val="48"/>
          <w:szCs w:val="30"/>
        </w:rPr>
        <w:t>5</w:t>
      </w:r>
      <w:r>
        <w:rPr>
          <w:rFonts w:ascii="宋体" w:hAnsi="宋体"/>
          <w:b/>
          <w:bCs/>
          <w:sz w:val="48"/>
          <w:szCs w:val="30"/>
        </w:rPr>
        <w:t>年</w:t>
      </w:r>
      <w:r>
        <w:rPr>
          <w:rFonts w:hint="eastAsia" w:ascii="宋体" w:hAnsi="宋体"/>
          <w:b/>
          <w:bCs/>
          <w:sz w:val="48"/>
          <w:szCs w:val="30"/>
        </w:rPr>
        <w:t>年度报告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w:t>
      </w:r>
      <w:r>
        <w:rPr>
          <w:rFonts w:hint="eastAsia" w:ascii="宋体" w:hAnsi="宋体"/>
          <w:b/>
          <w:bCs/>
          <w:sz w:val="28"/>
          <w:szCs w:val="30"/>
        </w:rPr>
        <w:t>德州</w:t>
      </w:r>
      <w:r>
        <w:rPr>
          <w:rFonts w:ascii="宋体" w:hAnsi="宋体"/>
          <w:b/>
          <w:bCs/>
          <w:sz w:val="28"/>
          <w:szCs w:val="30"/>
        </w:rPr>
        <w:t>银行股份有限公司</w:t>
      </w:r>
    </w:p>
    <w:p>
      <w:pPr>
        <w:ind w:firstLine="1687" w:firstLineChars="600"/>
        <w:jc w:val="left"/>
        <w:rPr>
          <w:rFonts w:ascii="宋体" w:hAnsi="宋体"/>
          <w:b/>
          <w:bCs/>
          <w:sz w:val="28"/>
          <w:szCs w:val="30"/>
        </w:rPr>
      </w:pPr>
      <w:r>
        <w:rPr>
          <w:rFonts w:ascii="宋体" w:hAnsi="宋体"/>
          <w:b/>
          <w:bCs/>
          <w:sz w:val="28"/>
          <w:szCs w:val="30"/>
        </w:rPr>
        <w:t>产品托管人：</w:t>
      </w:r>
      <w:r>
        <w:rPr>
          <w:rFonts w:hint="eastAsia" w:ascii="宋体" w:hAnsi="宋体"/>
          <w:b/>
          <w:bCs/>
          <w:sz w:val="28"/>
          <w:szCs w:val="30"/>
        </w:rPr>
        <w:t>中泰证券股份有限公司</w:t>
      </w:r>
    </w:p>
    <w:p>
      <w:pPr>
        <w:widowControl/>
        <w:shd w:val="clear" w:color="auto" w:fill="FFFFFF"/>
        <w:jc w:val="left"/>
        <w:rPr>
          <w:rFonts w:ascii="微软雅黑" w:hAnsi="微软雅黑" w:eastAsia="微软雅黑" w:cs="宋体"/>
          <w:color w:val="000000"/>
          <w:kern w:val="0"/>
          <w:sz w:val="27"/>
          <w:szCs w:val="27"/>
        </w:rPr>
      </w:pP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29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PrEx>
        <w:tc>
          <w:tcPr>
            <w:tcW w:w="8295" w:type="dxa"/>
            <w:tcBorders>
              <w:top w:val="outset" w:color="000000" w:sz="6" w:space="0"/>
              <w:left w:val="outset" w:color="000000" w:sz="6" w:space="0"/>
              <w:bottom w:val="outset" w:color="000000" w:sz="6" w:space="0"/>
              <w:right w:val="outset" w:color="000000" w:sz="6" w:space="0"/>
            </w:tcBorders>
          </w:tcPr>
          <w:p>
            <w:pPr>
              <w:widowControl/>
              <w:spacing w:after="75" w:line="360" w:lineRule="atLeast"/>
              <w:ind w:firstLine="420" w:firstLineChars="200"/>
            </w:pPr>
            <w:r>
              <w:t>产品管理人保证本报告所载资料不存在虚假记载、误导性陈述或重大遗漏， 并对其内容的真实性、准确性和完整性承担个别及连带责任。</w:t>
            </w:r>
          </w:p>
          <w:p>
            <w:pPr>
              <w:widowControl/>
              <w:spacing w:after="75" w:line="360" w:lineRule="atLeast"/>
              <w:ind w:firstLine="420"/>
            </w:pPr>
            <w:r>
              <w:rPr>
                <w:rFonts w:hint="eastAsia"/>
              </w:rPr>
              <w:t>产品托管人根据本产品合同规定，于 2026年 1 月13日复核了本报告中的收益表现和投资组合报告等财务数据，保证复核内容不存在虚假记载、误导性陈述或者重大遗漏。</w:t>
            </w:r>
          </w:p>
          <w:p>
            <w:pPr>
              <w:widowControl/>
              <w:spacing w:after="75" w:line="360" w:lineRule="atLeast"/>
              <w:ind w:firstLine="420"/>
            </w:pPr>
            <w:r>
              <w:t xml:space="preserve"> 产品管理人承诺以诚实信用、勤勉尽责的原则管理和运用产品资产，但不保证产品一定盈利。 产品的过往业绩并不代表其未来表现。投资有风险，投资者在作出投资决策 前应仔细阅读本产品的募集说明书。 本报告中财务资料未经审计。</w:t>
            </w:r>
          </w:p>
          <w:p>
            <w:pPr>
              <w:widowControl/>
              <w:spacing w:after="75" w:line="360" w:lineRule="atLeast"/>
              <w:ind w:firstLine="420"/>
              <w:rPr>
                <w:rFonts w:ascii="宋体" w:hAnsi="宋体" w:eastAsia="宋体" w:cs="宋体"/>
                <w:kern w:val="0"/>
                <w:sz w:val="24"/>
                <w:szCs w:val="24"/>
              </w:rPr>
            </w:pPr>
            <w:r>
              <w:t>本报告期自 202</w:t>
            </w:r>
            <w:r>
              <w:rPr>
                <w:rFonts w:hint="eastAsia"/>
              </w:rPr>
              <w:t>5</w:t>
            </w:r>
            <w:r>
              <w:t xml:space="preserve">年 </w:t>
            </w:r>
            <w:r>
              <w:rPr>
                <w:rFonts w:hint="eastAsia"/>
              </w:rPr>
              <w:t>1</w:t>
            </w:r>
            <w:r>
              <w:t xml:space="preserve">月 1 日至 </w:t>
            </w:r>
            <w:r>
              <w:rPr>
                <w:rFonts w:hint="eastAsia"/>
              </w:rPr>
              <w:t>12</w:t>
            </w:r>
            <w:r>
              <w:t>月 3</w:t>
            </w:r>
            <w:r>
              <w:rPr>
                <w:rFonts w:hint="eastAsia"/>
              </w:rPr>
              <w:t>1</w:t>
            </w:r>
            <w:r>
              <w:t xml:space="preserve"> 日止。</w:t>
            </w:r>
          </w:p>
        </w:tc>
      </w:tr>
    </w:tbl>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spacing w:line="360" w:lineRule="atLeast"/>
        <w:jc w:val="center"/>
        <w:rPr>
          <w:rFonts w:ascii="微软雅黑" w:hAnsi="微软雅黑" w:eastAsia="微软雅黑" w:cs="宋体"/>
          <w:color w:val="000000"/>
          <w:kern w:val="0"/>
          <w:sz w:val="27"/>
          <w:szCs w:val="27"/>
        </w:rPr>
      </w:pPr>
      <w:r>
        <w:rPr>
          <w:rFonts w:hint="eastAsia" w:ascii="宋体" w:hAnsi="宋体" w:eastAsia="宋体" w:cs="宋体"/>
          <w:b/>
          <w:bCs/>
          <w:color w:val="000000"/>
          <w:kern w:val="0"/>
          <w:sz w:val="27"/>
          <w:szCs w:val="27"/>
        </w:rPr>
        <w:t>第一章</w:t>
      </w:r>
      <w:r>
        <w:rPr>
          <w:rFonts w:hint="eastAsia" w:ascii="微软雅黑" w:hAnsi="微软雅黑" w:eastAsia="微软雅黑" w:cs="宋体"/>
          <w:b/>
          <w:bCs/>
          <w:color w:val="000000"/>
          <w:kern w:val="0"/>
          <w:sz w:val="27"/>
          <w:szCs w:val="27"/>
        </w:rPr>
        <w:t> </w:t>
      </w:r>
      <w:r>
        <w:rPr>
          <w:rFonts w:hint="eastAsia" w:ascii="宋体" w:hAnsi="宋体" w:eastAsia="宋体" w:cs="宋体"/>
          <w:b/>
          <w:bCs/>
          <w:color w:val="000000"/>
          <w:kern w:val="0"/>
          <w:sz w:val="27"/>
          <w:szCs w:val="27"/>
        </w:rPr>
        <w:t>基本信息</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2546"/>
        <w:gridCol w:w="5820"/>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产品名称</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cs="宋体"/>
                <w:b/>
                <w:kern w:val="0"/>
                <w:szCs w:val="21"/>
              </w:rPr>
            </w:pPr>
            <w:r>
              <w:rPr>
                <w:rFonts w:hint="eastAsia" w:ascii="宋体" w:hAnsi="宋体" w:cs="宋体"/>
                <w:b/>
                <w:kern w:val="0"/>
                <w:szCs w:val="21"/>
              </w:rPr>
              <w:t>2022年德财富—定开宝系列（182天定开）开放式净值型人民币理财产品</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理财产品代码</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DCFD22002</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产品登记编码</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cs="宋体"/>
                <w:kern w:val="0"/>
                <w:sz w:val="24"/>
                <w:szCs w:val="24"/>
              </w:rPr>
              <w:t>C1090322000018</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托管机构</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中泰证券股份有限公司</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产品募集方式</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公募</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产品运作模式</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开放式净值型</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产品投资性质</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固定收益类</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产品风险等级</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二级(中低)</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募集起始日期</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202</w:t>
            </w:r>
            <w:r>
              <w:rPr>
                <w:rFonts w:hint="eastAsia" w:ascii="宋体" w:hAnsi="宋体" w:eastAsia="宋体" w:cs="宋体"/>
                <w:kern w:val="0"/>
                <w:sz w:val="24"/>
                <w:szCs w:val="24"/>
              </w:rPr>
              <w:t>2</w:t>
            </w:r>
            <w:r>
              <w:rPr>
                <w:rFonts w:ascii="宋体" w:hAnsi="宋体" w:eastAsia="宋体" w:cs="宋体"/>
                <w:kern w:val="0"/>
                <w:sz w:val="24"/>
                <w:szCs w:val="24"/>
              </w:rPr>
              <w:t>-0</w:t>
            </w:r>
            <w:r>
              <w:rPr>
                <w:rFonts w:hint="eastAsia" w:ascii="宋体" w:hAnsi="宋体" w:eastAsia="宋体" w:cs="宋体"/>
                <w:kern w:val="0"/>
                <w:sz w:val="24"/>
                <w:szCs w:val="24"/>
              </w:rPr>
              <w:t>1</w:t>
            </w:r>
            <w:r>
              <w:rPr>
                <w:rFonts w:ascii="宋体" w:hAnsi="宋体" w:eastAsia="宋体" w:cs="宋体"/>
                <w:kern w:val="0"/>
                <w:sz w:val="24"/>
                <w:szCs w:val="24"/>
              </w:rPr>
              <w:t>-</w:t>
            </w:r>
            <w:r>
              <w:rPr>
                <w:rFonts w:hint="eastAsia" w:ascii="宋体" w:hAnsi="宋体" w:eastAsia="宋体" w:cs="宋体"/>
                <w:kern w:val="0"/>
                <w:sz w:val="24"/>
                <w:szCs w:val="24"/>
              </w:rPr>
              <w:t>26</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募集结束日期</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202</w:t>
            </w:r>
            <w:r>
              <w:rPr>
                <w:rFonts w:hint="eastAsia" w:ascii="宋体" w:hAnsi="宋体" w:eastAsia="宋体" w:cs="宋体"/>
                <w:kern w:val="0"/>
                <w:sz w:val="24"/>
                <w:szCs w:val="24"/>
              </w:rPr>
              <w:t>2</w:t>
            </w:r>
            <w:r>
              <w:rPr>
                <w:rFonts w:ascii="宋体" w:hAnsi="宋体" w:eastAsia="宋体" w:cs="宋体"/>
                <w:kern w:val="0"/>
                <w:sz w:val="24"/>
                <w:szCs w:val="24"/>
              </w:rPr>
              <w:t>-0</w:t>
            </w:r>
            <w:r>
              <w:rPr>
                <w:rFonts w:hint="eastAsia" w:ascii="宋体" w:hAnsi="宋体" w:eastAsia="宋体" w:cs="宋体"/>
                <w:kern w:val="0"/>
                <w:sz w:val="24"/>
                <w:szCs w:val="24"/>
              </w:rPr>
              <w:t>2</w:t>
            </w:r>
            <w:r>
              <w:rPr>
                <w:rFonts w:ascii="宋体" w:hAnsi="宋体" w:eastAsia="宋体" w:cs="宋体"/>
                <w:kern w:val="0"/>
                <w:sz w:val="24"/>
                <w:szCs w:val="24"/>
              </w:rPr>
              <w:t>-0</w:t>
            </w:r>
            <w:r>
              <w:rPr>
                <w:rFonts w:hint="eastAsia" w:ascii="宋体" w:hAnsi="宋体" w:eastAsia="宋体" w:cs="宋体"/>
                <w:kern w:val="0"/>
                <w:sz w:val="24"/>
                <w:szCs w:val="24"/>
              </w:rPr>
              <w:t>8</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产品起始日期</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202</w:t>
            </w:r>
            <w:r>
              <w:rPr>
                <w:rFonts w:hint="eastAsia" w:ascii="宋体" w:hAnsi="宋体" w:eastAsia="宋体" w:cs="宋体"/>
                <w:kern w:val="0"/>
                <w:sz w:val="24"/>
                <w:szCs w:val="24"/>
              </w:rPr>
              <w:t>2</w:t>
            </w:r>
            <w:r>
              <w:rPr>
                <w:rFonts w:ascii="宋体" w:hAnsi="宋体" w:eastAsia="宋体" w:cs="宋体"/>
                <w:kern w:val="0"/>
                <w:sz w:val="24"/>
                <w:szCs w:val="24"/>
              </w:rPr>
              <w:t>-0</w:t>
            </w:r>
            <w:r>
              <w:rPr>
                <w:rFonts w:hint="eastAsia" w:ascii="宋体" w:hAnsi="宋体" w:eastAsia="宋体" w:cs="宋体"/>
                <w:kern w:val="0"/>
                <w:sz w:val="24"/>
                <w:szCs w:val="24"/>
              </w:rPr>
              <w:t>2</w:t>
            </w:r>
            <w:r>
              <w:rPr>
                <w:rFonts w:ascii="宋体" w:hAnsi="宋体" w:eastAsia="宋体" w:cs="宋体"/>
                <w:kern w:val="0"/>
                <w:sz w:val="24"/>
                <w:szCs w:val="24"/>
              </w:rPr>
              <w:t>-0</w:t>
            </w:r>
            <w:r>
              <w:rPr>
                <w:rFonts w:hint="eastAsia" w:ascii="宋体" w:hAnsi="宋体" w:eastAsia="宋体" w:cs="宋体"/>
                <w:kern w:val="0"/>
                <w:sz w:val="24"/>
                <w:szCs w:val="24"/>
              </w:rPr>
              <w:t>9</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产品终止日期</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20</w:t>
            </w:r>
            <w:r>
              <w:rPr>
                <w:rFonts w:hint="eastAsia" w:ascii="宋体" w:hAnsi="宋体" w:eastAsia="宋体" w:cs="宋体"/>
                <w:kern w:val="0"/>
                <w:sz w:val="24"/>
                <w:szCs w:val="24"/>
              </w:rPr>
              <w:t>40</w:t>
            </w:r>
            <w:r>
              <w:rPr>
                <w:rFonts w:ascii="宋体" w:hAnsi="宋体" w:eastAsia="宋体" w:cs="宋体"/>
                <w:kern w:val="0"/>
                <w:sz w:val="24"/>
                <w:szCs w:val="24"/>
              </w:rPr>
              <w:t>-</w:t>
            </w:r>
            <w:r>
              <w:rPr>
                <w:rFonts w:hint="eastAsia" w:ascii="宋体" w:hAnsi="宋体" w:eastAsia="宋体" w:cs="宋体"/>
                <w:kern w:val="0"/>
                <w:sz w:val="24"/>
                <w:szCs w:val="24"/>
              </w:rPr>
              <w:t>11</w:t>
            </w:r>
            <w:r>
              <w:rPr>
                <w:rFonts w:ascii="宋体" w:hAnsi="宋体" w:eastAsia="宋体" w:cs="宋体"/>
                <w:kern w:val="0"/>
                <w:sz w:val="24"/>
                <w:szCs w:val="24"/>
              </w:rPr>
              <w:t>-</w:t>
            </w:r>
            <w:r>
              <w:rPr>
                <w:rFonts w:hint="eastAsia" w:ascii="宋体" w:hAnsi="宋体" w:eastAsia="宋体" w:cs="宋体"/>
                <w:kern w:val="0"/>
                <w:sz w:val="24"/>
                <w:szCs w:val="24"/>
              </w:rPr>
              <w:t>22</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业绩比较基准</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2.20</w:t>
            </w:r>
            <w:r>
              <w:rPr>
                <w:rFonts w:ascii="宋体" w:hAnsi="宋体" w:eastAsia="宋体" w:cs="宋体"/>
                <w:kern w:val="0"/>
                <w:sz w:val="24"/>
                <w:szCs w:val="24"/>
              </w:rPr>
              <w:t>%</w:t>
            </w:r>
          </w:p>
        </w:tc>
      </w:tr>
    </w:tbl>
    <w:p>
      <w:pPr>
        <w:widowControl/>
        <w:shd w:val="clear" w:color="auto" w:fill="FFFFFF"/>
        <w:spacing w:after="75" w:line="360" w:lineRule="atLeast"/>
        <w:rPr>
          <w:rFonts w:ascii="宋体" w:hAnsi="宋体" w:eastAsia="宋体" w:cs="宋体"/>
          <w:b/>
          <w:bCs/>
          <w:color w:val="000000"/>
          <w:kern w:val="0"/>
          <w:sz w:val="27"/>
          <w:szCs w:val="27"/>
        </w:rPr>
      </w:pPr>
    </w:p>
    <w:p>
      <w:pPr>
        <w:widowControl/>
        <w:shd w:val="clear" w:color="auto" w:fill="FFFFFF"/>
        <w:spacing w:after="75" w:line="360" w:lineRule="atLeast"/>
        <w:jc w:val="center"/>
        <w:rPr>
          <w:rFonts w:ascii="微软雅黑" w:hAnsi="微软雅黑" w:eastAsia="微软雅黑" w:cs="宋体"/>
          <w:color w:val="000000"/>
          <w:kern w:val="0"/>
          <w:sz w:val="27"/>
          <w:szCs w:val="27"/>
        </w:rPr>
      </w:pPr>
      <w:r>
        <w:rPr>
          <w:rFonts w:hint="eastAsia" w:ascii="宋体" w:hAnsi="宋体" w:eastAsia="宋体" w:cs="宋体"/>
          <w:b/>
          <w:bCs/>
          <w:color w:val="000000"/>
          <w:kern w:val="0"/>
          <w:sz w:val="27"/>
          <w:szCs w:val="27"/>
        </w:rPr>
        <w:t>第二章</w:t>
      </w:r>
      <w:r>
        <w:rPr>
          <w:rFonts w:hint="eastAsia" w:ascii="微软雅黑" w:hAnsi="微软雅黑" w:eastAsia="微软雅黑" w:cs="宋体"/>
          <w:b/>
          <w:bCs/>
          <w:color w:val="000000"/>
          <w:kern w:val="0"/>
          <w:sz w:val="27"/>
          <w:szCs w:val="27"/>
        </w:rPr>
        <w:t> </w:t>
      </w:r>
      <w:r>
        <w:rPr>
          <w:rFonts w:hint="eastAsia" w:ascii="宋体" w:hAnsi="宋体" w:eastAsia="宋体" w:cs="宋体"/>
          <w:b/>
          <w:bCs/>
          <w:color w:val="000000"/>
          <w:kern w:val="0"/>
          <w:sz w:val="27"/>
          <w:szCs w:val="27"/>
        </w:rPr>
        <w:t>净值、存续规模及收益表现</w:t>
      </w:r>
    </w:p>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 xml:space="preserve">    2.1 </w:t>
      </w:r>
      <w:r>
        <w:rPr>
          <w:rFonts w:hint="eastAsia" w:ascii="宋体" w:hAnsi="宋体" w:eastAsia="宋体" w:cs="宋体"/>
          <w:b/>
          <w:bCs/>
          <w:color w:val="000000"/>
          <w:kern w:val="0"/>
          <w:sz w:val="27"/>
          <w:szCs w:val="27"/>
        </w:rPr>
        <w:t>产品净值及存续规模</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1703"/>
        <w:gridCol w:w="1563"/>
        <w:gridCol w:w="1706"/>
        <w:gridCol w:w="1706"/>
        <w:gridCol w:w="1688"/>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70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产品代码</w:t>
            </w:r>
          </w:p>
        </w:tc>
        <w:tc>
          <w:tcPr>
            <w:tcW w:w="156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估值日期</w:t>
            </w:r>
          </w:p>
        </w:tc>
        <w:tc>
          <w:tcPr>
            <w:tcW w:w="170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单位净值</w:t>
            </w:r>
          </w:p>
        </w:tc>
        <w:tc>
          <w:tcPr>
            <w:tcW w:w="170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累计净值</w:t>
            </w:r>
          </w:p>
        </w:tc>
        <w:tc>
          <w:tcPr>
            <w:tcW w:w="168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产品余额</w:t>
            </w:r>
          </w:p>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（万元）</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70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hint="eastAsia" w:ascii="宋体" w:hAnsi="宋体" w:eastAsia="宋体" w:cs="宋体"/>
                <w:kern w:val="0"/>
                <w:sz w:val="24"/>
                <w:szCs w:val="24"/>
              </w:rPr>
              <w:t>DCFD22002</w:t>
            </w:r>
          </w:p>
        </w:tc>
        <w:tc>
          <w:tcPr>
            <w:tcW w:w="156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202</w:t>
            </w:r>
            <w:r>
              <w:rPr>
                <w:rFonts w:hint="eastAsia" w:ascii="宋体" w:hAnsi="宋体" w:eastAsia="宋体" w:cs="宋体"/>
                <w:kern w:val="0"/>
                <w:sz w:val="24"/>
                <w:szCs w:val="24"/>
              </w:rPr>
              <w:t>5-12-31</w:t>
            </w:r>
          </w:p>
        </w:tc>
        <w:tc>
          <w:tcPr>
            <w:tcW w:w="170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1.1</w:t>
            </w:r>
            <w:r>
              <w:rPr>
                <w:rFonts w:hint="eastAsia" w:ascii="宋体" w:hAnsi="宋体" w:eastAsia="宋体" w:cs="宋体"/>
                <w:kern w:val="0"/>
                <w:sz w:val="24"/>
                <w:szCs w:val="24"/>
              </w:rPr>
              <w:t>0811988</w:t>
            </w:r>
          </w:p>
        </w:tc>
        <w:tc>
          <w:tcPr>
            <w:tcW w:w="170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1.1</w:t>
            </w:r>
            <w:r>
              <w:rPr>
                <w:rFonts w:hint="eastAsia" w:ascii="宋体" w:hAnsi="宋体" w:eastAsia="宋体" w:cs="宋体"/>
                <w:kern w:val="0"/>
                <w:sz w:val="24"/>
                <w:szCs w:val="24"/>
              </w:rPr>
              <w:t>0811988</w:t>
            </w:r>
          </w:p>
        </w:tc>
        <w:tc>
          <w:tcPr>
            <w:tcW w:w="168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bCs/>
                <w:kern w:val="0"/>
                <w:sz w:val="24"/>
                <w:szCs w:val="24"/>
              </w:rPr>
            </w:pPr>
            <w:r>
              <w:rPr>
                <w:rFonts w:hint="eastAsia" w:ascii="宋体" w:hAnsi="宋体" w:eastAsia="宋体" w:cs="宋体"/>
                <w:bCs/>
                <w:kern w:val="0"/>
                <w:sz w:val="24"/>
                <w:szCs w:val="24"/>
              </w:rPr>
              <w:t>30940.66</w:t>
            </w:r>
          </w:p>
        </w:tc>
      </w:tr>
    </w:tbl>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 xml:space="preserve">    2.2 </w:t>
      </w:r>
      <w:r>
        <w:rPr>
          <w:rFonts w:hint="eastAsia" w:ascii="宋体" w:hAnsi="宋体" w:eastAsia="宋体" w:cs="宋体"/>
          <w:b/>
          <w:bCs/>
          <w:color w:val="000000"/>
          <w:kern w:val="0"/>
          <w:sz w:val="27"/>
          <w:szCs w:val="27"/>
        </w:rPr>
        <w:t>期末产品资产情况</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1023"/>
        <w:gridCol w:w="4406"/>
        <w:gridCol w:w="1498"/>
        <w:gridCol w:w="1439"/>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02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序号</w:t>
            </w:r>
          </w:p>
        </w:tc>
        <w:tc>
          <w:tcPr>
            <w:tcW w:w="440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资产类别</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直接投资占</w:t>
            </w:r>
            <w:r>
              <w:rPr>
                <w:rFonts w:hint="eastAsia" w:ascii="宋体" w:hAnsi="宋体" w:eastAsia="宋体" w:cs="宋体"/>
                <w:b/>
                <w:bCs/>
                <w:kern w:val="0"/>
                <w:sz w:val="24"/>
                <w:szCs w:val="24"/>
              </w:rPr>
              <w:t>净</w:t>
            </w:r>
            <w:r>
              <w:rPr>
                <w:rFonts w:ascii="宋体" w:hAnsi="宋体" w:eastAsia="宋体" w:cs="宋体"/>
                <w:b/>
                <w:bCs/>
                <w:kern w:val="0"/>
                <w:sz w:val="24"/>
                <w:szCs w:val="24"/>
              </w:rPr>
              <w:t>资产比例（</w:t>
            </w:r>
            <w:r>
              <w:rPr>
                <w:rFonts w:hint="eastAsia" w:ascii="宋体" w:hAnsi="宋体" w:eastAsia="宋体" w:cs="宋体"/>
                <w:b/>
                <w:bCs/>
                <w:kern w:val="0"/>
                <w:sz w:val="24"/>
                <w:szCs w:val="24"/>
              </w:rPr>
              <w:t>%</w:t>
            </w:r>
            <w:r>
              <w:rPr>
                <w:rFonts w:ascii="宋体" w:hAnsi="宋体" w:eastAsia="宋体" w:cs="宋体"/>
                <w:b/>
                <w:bCs/>
                <w:kern w:val="0"/>
                <w:sz w:val="24"/>
                <w:szCs w:val="24"/>
              </w:rPr>
              <w:t>）</w:t>
            </w:r>
          </w:p>
        </w:tc>
        <w:tc>
          <w:tcPr>
            <w:tcW w:w="143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间接投资占</w:t>
            </w:r>
            <w:r>
              <w:rPr>
                <w:rFonts w:hint="eastAsia" w:ascii="宋体" w:hAnsi="宋体" w:eastAsia="宋体" w:cs="宋体"/>
                <w:b/>
                <w:bCs/>
                <w:kern w:val="0"/>
                <w:sz w:val="24"/>
                <w:szCs w:val="24"/>
              </w:rPr>
              <w:t>净</w:t>
            </w:r>
            <w:r>
              <w:rPr>
                <w:rFonts w:ascii="宋体" w:hAnsi="宋体" w:eastAsia="宋体" w:cs="宋体"/>
                <w:b/>
                <w:bCs/>
                <w:kern w:val="0"/>
                <w:sz w:val="24"/>
                <w:szCs w:val="24"/>
              </w:rPr>
              <w:t>资产比例（</w:t>
            </w:r>
            <w:r>
              <w:rPr>
                <w:rFonts w:hint="eastAsia" w:ascii="宋体" w:hAnsi="宋体" w:eastAsia="宋体" w:cs="宋体"/>
                <w:b/>
                <w:bCs/>
                <w:kern w:val="0"/>
                <w:sz w:val="24"/>
                <w:szCs w:val="24"/>
              </w:rPr>
              <w:t>%</w:t>
            </w:r>
            <w:r>
              <w:rPr>
                <w:rFonts w:ascii="宋体" w:hAnsi="宋体" w:eastAsia="宋体" w:cs="宋体"/>
                <w:b/>
                <w:bCs/>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02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1</w:t>
            </w:r>
          </w:p>
        </w:tc>
        <w:tc>
          <w:tcPr>
            <w:tcW w:w="440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现金及银行存款</w:t>
            </w:r>
          </w:p>
        </w:tc>
        <w:tc>
          <w:tcPr>
            <w:tcW w:w="1498"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s="宋体"/>
                <w:kern w:val="0"/>
                <w:sz w:val="24"/>
                <w:szCs w:val="24"/>
              </w:rPr>
            </w:pPr>
            <w:r>
              <w:rPr>
                <w:rFonts w:hint="eastAsia" w:ascii="宋体" w:hAnsi="宋体" w:eastAsia="宋体" w:cs="宋体"/>
                <w:kern w:val="0"/>
                <w:sz w:val="24"/>
                <w:szCs w:val="24"/>
              </w:rPr>
              <w:t>4.46</w:t>
            </w:r>
          </w:p>
        </w:tc>
        <w:tc>
          <w:tcPr>
            <w:tcW w:w="1439"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02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2</w:t>
            </w:r>
          </w:p>
        </w:tc>
        <w:tc>
          <w:tcPr>
            <w:tcW w:w="440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同业存单</w:t>
            </w:r>
          </w:p>
        </w:tc>
        <w:tc>
          <w:tcPr>
            <w:tcW w:w="1498"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s="宋体"/>
                <w:kern w:val="0"/>
                <w:sz w:val="24"/>
                <w:szCs w:val="24"/>
              </w:rPr>
            </w:pPr>
            <w:r>
              <w:rPr>
                <w:rFonts w:hint="eastAsia" w:ascii="宋体" w:hAnsi="宋体" w:eastAsia="宋体" w:cs="宋体"/>
                <w:kern w:val="0"/>
                <w:sz w:val="24"/>
                <w:szCs w:val="24"/>
              </w:rPr>
              <w:t>61.05</w:t>
            </w:r>
          </w:p>
        </w:tc>
        <w:tc>
          <w:tcPr>
            <w:tcW w:w="1439"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02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3</w:t>
            </w:r>
          </w:p>
        </w:tc>
        <w:tc>
          <w:tcPr>
            <w:tcW w:w="440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拆放同业及债券买入返售</w:t>
            </w:r>
          </w:p>
        </w:tc>
        <w:tc>
          <w:tcPr>
            <w:tcW w:w="1498"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s="宋体"/>
                <w:kern w:val="0"/>
                <w:sz w:val="24"/>
                <w:szCs w:val="24"/>
              </w:rPr>
            </w:pPr>
            <w:r>
              <w:rPr>
                <w:rFonts w:hint="eastAsia" w:ascii="宋体" w:hAnsi="宋体" w:eastAsia="宋体" w:cs="宋体"/>
                <w:kern w:val="0"/>
                <w:sz w:val="24"/>
                <w:szCs w:val="24"/>
              </w:rPr>
              <w:t>6.6</w:t>
            </w:r>
          </w:p>
        </w:tc>
        <w:tc>
          <w:tcPr>
            <w:tcW w:w="1439"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02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4</w:t>
            </w:r>
          </w:p>
        </w:tc>
        <w:tc>
          <w:tcPr>
            <w:tcW w:w="440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债券</w:t>
            </w:r>
          </w:p>
        </w:tc>
        <w:tc>
          <w:tcPr>
            <w:tcW w:w="1498"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s="宋体"/>
                <w:kern w:val="0"/>
                <w:sz w:val="24"/>
                <w:szCs w:val="24"/>
              </w:rPr>
            </w:pPr>
            <w:r>
              <w:rPr>
                <w:rFonts w:hint="eastAsia" w:ascii="宋体" w:hAnsi="宋体" w:eastAsia="宋体" w:cs="宋体"/>
                <w:kern w:val="0"/>
                <w:sz w:val="24"/>
                <w:szCs w:val="24"/>
              </w:rPr>
              <w:t>34.85</w:t>
            </w:r>
          </w:p>
        </w:tc>
        <w:tc>
          <w:tcPr>
            <w:tcW w:w="1439"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02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5</w:t>
            </w:r>
          </w:p>
        </w:tc>
        <w:tc>
          <w:tcPr>
            <w:tcW w:w="440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非标准化债权类资产</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w:t>
            </w:r>
          </w:p>
        </w:tc>
        <w:tc>
          <w:tcPr>
            <w:tcW w:w="143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02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6</w:t>
            </w:r>
          </w:p>
        </w:tc>
        <w:tc>
          <w:tcPr>
            <w:tcW w:w="440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权益类资产</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w:t>
            </w:r>
          </w:p>
        </w:tc>
        <w:tc>
          <w:tcPr>
            <w:tcW w:w="143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02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7</w:t>
            </w:r>
          </w:p>
        </w:tc>
        <w:tc>
          <w:tcPr>
            <w:tcW w:w="440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代客境外理财投资QDII</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w:t>
            </w:r>
          </w:p>
        </w:tc>
        <w:tc>
          <w:tcPr>
            <w:tcW w:w="143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02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8</w:t>
            </w:r>
          </w:p>
        </w:tc>
        <w:tc>
          <w:tcPr>
            <w:tcW w:w="440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其他资产（商品及金融衍生品、另类资产）</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w:t>
            </w:r>
          </w:p>
        </w:tc>
        <w:tc>
          <w:tcPr>
            <w:tcW w:w="143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02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9</w:t>
            </w:r>
          </w:p>
        </w:tc>
        <w:tc>
          <w:tcPr>
            <w:tcW w:w="440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公募基金</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w:t>
            </w:r>
          </w:p>
        </w:tc>
        <w:tc>
          <w:tcPr>
            <w:tcW w:w="143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02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10</w:t>
            </w:r>
          </w:p>
        </w:tc>
        <w:tc>
          <w:tcPr>
            <w:tcW w:w="440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私募基金</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w:t>
            </w:r>
          </w:p>
        </w:tc>
        <w:tc>
          <w:tcPr>
            <w:tcW w:w="143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02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11</w:t>
            </w:r>
          </w:p>
        </w:tc>
        <w:tc>
          <w:tcPr>
            <w:tcW w:w="440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资产管理产品</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w:t>
            </w:r>
          </w:p>
        </w:tc>
        <w:tc>
          <w:tcPr>
            <w:tcW w:w="143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02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12</w:t>
            </w:r>
          </w:p>
        </w:tc>
        <w:tc>
          <w:tcPr>
            <w:tcW w:w="440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委外投资――协议方式</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w:t>
            </w:r>
          </w:p>
        </w:tc>
        <w:tc>
          <w:tcPr>
            <w:tcW w:w="143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w:t>
            </w:r>
          </w:p>
        </w:tc>
      </w:tr>
    </w:tbl>
    <w:p>
      <w:pPr>
        <w:widowControl/>
        <w:shd w:val="clear" w:color="auto" w:fill="FFFFFF"/>
        <w:spacing w:line="360" w:lineRule="atLeast"/>
        <w:ind w:firstLine="525"/>
        <w:rPr>
          <w:rFonts w:ascii="微软雅黑" w:hAnsi="微软雅黑" w:eastAsia="微软雅黑" w:cs="宋体"/>
          <w:color w:val="000000"/>
          <w:kern w:val="0"/>
          <w:sz w:val="27"/>
          <w:szCs w:val="27"/>
        </w:rPr>
      </w:pPr>
      <w:r>
        <w:rPr>
          <w:rFonts w:hint="eastAsia" w:ascii="宋体" w:hAnsi="宋体" w:eastAsia="宋体" w:cs="宋体"/>
          <w:color w:val="000000"/>
          <w:kern w:val="0"/>
          <w:sz w:val="27"/>
          <w:szCs w:val="27"/>
        </w:rPr>
        <w:t>截至报告期末本产品杠杆率为</w:t>
      </w:r>
      <w:r>
        <w:rPr>
          <w:rFonts w:hint="eastAsia" w:ascii="微软雅黑" w:hAnsi="微软雅黑" w:eastAsia="微软雅黑" w:cs="宋体"/>
          <w:color w:val="000000"/>
          <w:kern w:val="0"/>
          <w:sz w:val="27"/>
          <w:szCs w:val="27"/>
        </w:rPr>
        <w:t>106.96%。</w:t>
      </w:r>
    </w:p>
    <w:p>
      <w:pPr>
        <w:widowControl/>
        <w:shd w:val="clear" w:color="auto" w:fill="FFFFFF"/>
        <w:spacing w:line="360" w:lineRule="atLeast"/>
        <w:ind w:firstLine="525"/>
        <w:rPr>
          <w:rFonts w:ascii="微软雅黑" w:hAnsi="微软雅黑" w:eastAsia="微软雅黑" w:cs="宋体"/>
          <w:color w:val="000000"/>
          <w:kern w:val="0"/>
          <w:sz w:val="27"/>
          <w:szCs w:val="27"/>
        </w:rPr>
      </w:pPr>
    </w:p>
    <w:p>
      <w:pPr>
        <w:widowControl/>
        <w:shd w:val="clear" w:color="auto" w:fill="FFFFFF"/>
        <w:spacing w:line="360" w:lineRule="atLeast"/>
        <w:ind w:firstLine="525"/>
        <w:rPr>
          <w:rFonts w:ascii="微软雅黑" w:hAnsi="微软雅黑" w:eastAsia="微软雅黑" w:cs="宋体"/>
          <w:color w:val="000000"/>
          <w:kern w:val="0"/>
          <w:sz w:val="27"/>
          <w:szCs w:val="27"/>
        </w:rPr>
      </w:pPr>
    </w:p>
    <w:p>
      <w:pPr>
        <w:widowControl/>
        <w:shd w:val="clear" w:color="auto" w:fill="FFFFFF"/>
        <w:spacing w:line="360" w:lineRule="atLeast"/>
        <w:ind w:firstLine="525"/>
        <w:rPr>
          <w:rFonts w:ascii="微软雅黑" w:hAnsi="微软雅黑" w:eastAsia="微软雅黑" w:cs="宋体"/>
          <w:color w:val="000000"/>
          <w:kern w:val="0"/>
          <w:sz w:val="27"/>
          <w:szCs w:val="27"/>
        </w:rPr>
      </w:pPr>
    </w:p>
    <w:p>
      <w:pPr>
        <w:widowControl/>
        <w:shd w:val="clear" w:color="auto" w:fill="FFFFFF"/>
        <w:spacing w:line="360" w:lineRule="atLeast"/>
        <w:ind w:firstLine="525"/>
        <w:rPr>
          <w:rFonts w:ascii="微软雅黑" w:hAnsi="微软雅黑" w:eastAsia="微软雅黑" w:cs="宋体"/>
          <w:color w:val="000000"/>
          <w:kern w:val="0"/>
          <w:sz w:val="27"/>
          <w:szCs w:val="27"/>
        </w:rPr>
      </w:pPr>
    </w:p>
    <w:p>
      <w:pPr>
        <w:widowControl/>
        <w:shd w:val="clear" w:color="auto" w:fill="FFFFFF"/>
        <w:spacing w:line="360" w:lineRule="atLeast"/>
        <w:ind w:firstLine="525"/>
        <w:rPr>
          <w:rFonts w:ascii="微软雅黑" w:hAnsi="微软雅黑" w:eastAsia="微软雅黑" w:cs="宋体"/>
          <w:color w:val="000000"/>
          <w:kern w:val="0"/>
          <w:sz w:val="27"/>
          <w:szCs w:val="27"/>
        </w:rPr>
      </w:pPr>
    </w:p>
    <w:p>
      <w:pPr>
        <w:widowControl/>
        <w:shd w:val="clear" w:color="auto" w:fill="FFFFFF"/>
        <w:spacing w:line="360" w:lineRule="atLeast"/>
        <w:ind w:firstLine="525"/>
        <w:rPr>
          <w:rFonts w:ascii="微软雅黑" w:hAnsi="微软雅黑" w:eastAsia="微软雅黑" w:cs="宋体"/>
          <w:color w:val="000000"/>
          <w:kern w:val="0"/>
          <w:sz w:val="27"/>
          <w:szCs w:val="27"/>
        </w:rPr>
      </w:pPr>
    </w:p>
    <w:p>
      <w:pPr>
        <w:widowControl/>
        <w:shd w:val="clear" w:color="auto" w:fill="FFFFFF"/>
        <w:spacing w:line="360" w:lineRule="atLeast"/>
        <w:ind w:firstLine="525"/>
        <w:rPr>
          <w:rFonts w:ascii="微软雅黑" w:hAnsi="微软雅黑" w:eastAsia="微软雅黑" w:cs="宋体"/>
          <w:color w:val="000000"/>
          <w:kern w:val="0"/>
          <w:sz w:val="27"/>
          <w:szCs w:val="27"/>
        </w:rPr>
      </w:pPr>
    </w:p>
    <w:p>
      <w:pPr>
        <w:widowControl/>
        <w:shd w:val="clear" w:color="auto" w:fill="FFFFFF"/>
        <w:spacing w:line="360" w:lineRule="atLeast"/>
        <w:rPr>
          <w:rFonts w:ascii="宋体" w:hAnsi="宋体" w:eastAsia="宋体" w:cs="宋体"/>
          <w:b/>
          <w:bCs/>
          <w:color w:val="000000"/>
          <w:kern w:val="0"/>
          <w:sz w:val="27"/>
          <w:szCs w:val="27"/>
        </w:rPr>
      </w:pPr>
      <w:r>
        <w:rPr>
          <w:rFonts w:hint="eastAsia" w:ascii="微软雅黑" w:hAnsi="微软雅黑" w:eastAsia="微软雅黑" w:cs="宋体"/>
          <w:b/>
          <w:bCs/>
          <w:color w:val="000000"/>
          <w:kern w:val="0"/>
          <w:sz w:val="27"/>
          <w:szCs w:val="27"/>
        </w:rPr>
        <w:t xml:space="preserve">    2.3 </w:t>
      </w:r>
      <w:r>
        <w:rPr>
          <w:rFonts w:hint="eastAsia" w:ascii="宋体" w:hAnsi="宋体" w:eastAsia="宋体" w:cs="宋体"/>
          <w:b/>
          <w:bCs/>
          <w:color w:val="000000"/>
          <w:kern w:val="0"/>
          <w:sz w:val="27"/>
          <w:szCs w:val="27"/>
        </w:rPr>
        <w:t>期末产品持有的前十项资产</w:t>
      </w:r>
    </w:p>
    <w:tbl>
      <w:tblPr>
        <w:tblStyle w:val="7"/>
        <w:tblW w:w="8285" w:type="dxa"/>
        <w:jc w:val="center"/>
        <w:tblLayout w:type="autofit"/>
        <w:tblCellMar>
          <w:top w:w="0" w:type="dxa"/>
          <w:left w:w="108" w:type="dxa"/>
          <w:bottom w:w="0" w:type="dxa"/>
          <w:right w:w="108" w:type="dxa"/>
        </w:tblCellMar>
      </w:tblPr>
      <w:tblGrid>
        <w:gridCol w:w="828"/>
        <w:gridCol w:w="3098"/>
        <w:gridCol w:w="1876"/>
        <w:gridCol w:w="2483"/>
      </w:tblGrid>
      <w:tr>
        <w:tblPrEx>
          <w:tblCellMar>
            <w:top w:w="0" w:type="dxa"/>
            <w:left w:w="108" w:type="dxa"/>
            <w:bottom w:w="0" w:type="dxa"/>
            <w:right w:w="108" w:type="dxa"/>
          </w:tblCellMar>
        </w:tblPrEx>
        <w:trPr>
          <w:trHeight w:val="430" w:hRule="atLeast"/>
          <w:jc w:val="center"/>
        </w:trPr>
        <w:tc>
          <w:tcPr>
            <w:tcW w:w="82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3098"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资产名称</w:t>
            </w:r>
          </w:p>
        </w:tc>
        <w:tc>
          <w:tcPr>
            <w:tcW w:w="1876"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资产类别</w:t>
            </w:r>
          </w:p>
        </w:tc>
        <w:tc>
          <w:tcPr>
            <w:tcW w:w="2483"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占净资产的比例</w:t>
            </w:r>
          </w:p>
        </w:tc>
      </w:tr>
      <w:tr>
        <w:tblPrEx>
          <w:tblCellMar>
            <w:top w:w="0" w:type="dxa"/>
            <w:left w:w="108" w:type="dxa"/>
            <w:bottom w:w="0" w:type="dxa"/>
            <w:right w:w="108" w:type="dxa"/>
          </w:tblCellMar>
        </w:tblPrEx>
        <w:trPr>
          <w:trHeight w:val="430" w:hRule="atLeast"/>
          <w:jc w:val="center"/>
        </w:trPr>
        <w:tc>
          <w:tcPr>
            <w:tcW w:w="828"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w:t>
            </w:r>
          </w:p>
        </w:tc>
        <w:tc>
          <w:tcPr>
            <w:tcW w:w="3098" w:type="dxa"/>
            <w:tcBorders>
              <w:top w:val="nil"/>
              <w:left w:val="nil"/>
              <w:bottom w:val="single" w:color="000000" w:sz="8" w:space="0"/>
              <w:right w:val="single" w:color="000000" w:sz="8" w:space="0"/>
            </w:tcBorders>
            <w:shd w:val="clear" w:color="auto" w:fill="auto"/>
            <w:vAlign w:val="center"/>
          </w:tcPr>
          <w:p>
            <w:pPr>
              <w:rPr>
                <w:rFonts w:ascii="Times New Roman" w:hAnsi="Times New Roman" w:eastAsia="宋体" w:cs="Times New Roman"/>
                <w:b/>
                <w:bCs/>
                <w:sz w:val="22"/>
              </w:rPr>
            </w:pPr>
            <w:r>
              <w:rPr>
                <w:rFonts w:ascii="Times New Roman" w:hAnsi="Times New Roman" w:cs="Times New Roman"/>
                <w:b/>
                <w:bCs/>
                <w:sz w:val="22"/>
              </w:rPr>
              <w:t>25</w:t>
            </w:r>
            <w:r>
              <w:rPr>
                <w:rFonts w:hint="eastAsia" w:cs="Times New Roman"/>
                <w:b/>
                <w:bCs/>
                <w:sz w:val="22"/>
              </w:rPr>
              <w:t>海南银行</w:t>
            </w:r>
            <w:r>
              <w:rPr>
                <w:rFonts w:ascii="Times New Roman" w:hAnsi="Times New Roman" w:cs="Times New Roman"/>
                <w:b/>
                <w:bCs/>
                <w:sz w:val="22"/>
              </w:rPr>
              <w:t>CD161</w:t>
            </w:r>
          </w:p>
        </w:tc>
        <w:tc>
          <w:tcPr>
            <w:tcW w:w="1876" w:type="dxa"/>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同业存单</w:t>
            </w:r>
          </w:p>
        </w:tc>
        <w:tc>
          <w:tcPr>
            <w:tcW w:w="2483"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9.68%</w:t>
            </w:r>
          </w:p>
        </w:tc>
      </w:tr>
      <w:tr>
        <w:tblPrEx>
          <w:tblCellMar>
            <w:top w:w="0" w:type="dxa"/>
            <w:left w:w="108" w:type="dxa"/>
            <w:bottom w:w="0" w:type="dxa"/>
            <w:right w:w="108" w:type="dxa"/>
          </w:tblCellMar>
        </w:tblPrEx>
        <w:trPr>
          <w:trHeight w:val="430" w:hRule="atLeast"/>
          <w:jc w:val="center"/>
        </w:trPr>
        <w:tc>
          <w:tcPr>
            <w:tcW w:w="828"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2</w:t>
            </w:r>
          </w:p>
        </w:tc>
        <w:tc>
          <w:tcPr>
            <w:tcW w:w="3098" w:type="dxa"/>
            <w:tcBorders>
              <w:top w:val="nil"/>
              <w:left w:val="nil"/>
              <w:bottom w:val="single" w:color="000000" w:sz="8" w:space="0"/>
              <w:right w:val="single" w:color="000000" w:sz="8" w:space="0"/>
            </w:tcBorders>
            <w:shd w:val="clear" w:color="auto" w:fill="auto"/>
            <w:vAlign w:val="center"/>
          </w:tcPr>
          <w:p>
            <w:pPr>
              <w:rPr>
                <w:rFonts w:ascii="Times New Roman" w:hAnsi="Times New Roman" w:eastAsia="宋体" w:cs="Times New Roman"/>
                <w:b/>
                <w:bCs/>
                <w:sz w:val="22"/>
              </w:rPr>
            </w:pPr>
            <w:r>
              <w:rPr>
                <w:rFonts w:ascii="Times New Roman" w:hAnsi="Times New Roman" w:cs="Times New Roman"/>
                <w:b/>
                <w:bCs/>
                <w:sz w:val="22"/>
              </w:rPr>
              <w:t>21</w:t>
            </w:r>
            <w:r>
              <w:rPr>
                <w:rFonts w:hint="eastAsia" w:cs="Times New Roman"/>
                <w:b/>
                <w:bCs/>
                <w:sz w:val="22"/>
              </w:rPr>
              <w:t>宁津</w:t>
            </w:r>
            <w:r>
              <w:rPr>
                <w:rFonts w:ascii="Times New Roman" w:hAnsi="Times New Roman" w:cs="Times New Roman"/>
                <w:b/>
                <w:bCs/>
                <w:sz w:val="22"/>
              </w:rPr>
              <w:t>01</w:t>
            </w:r>
          </w:p>
        </w:tc>
        <w:tc>
          <w:tcPr>
            <w:tcW w:w="1876" w:type="dxa"/>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债券</w:t>
            </w:r>
          </w:p>
        </w:tc>
        <w:tc>
          <w:tcPr>
            <w:tcW w:w="2483"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6.84%</w:t>
            </w:r>
          </w:p>
        </w:tc>
      </w:tr>
      <w:tr>
        <w:tblPrEx>
          <w:tblCellMar>
            <w:top w:w="0" w:type="dxa"/>
            <w:left w:w="108" w:type="dxa"/>
            <w:bottom w:w="0" w:type="dxa"/>
            <w:right w:w="108" w:type="dxa"/>
          </w:tblCellMar>
        </w:tblPrEx>
        <w:trPr>
          <w:trHeight w:val="430" w:hRule="atLeast"/>
          <w:jc w:val="center"/>
        </w:trPr>
        <w:tc>
          <w:tcPr>
            <w:tcW w:w="828"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3</w:t>
            </w:r>
          </w:p>
        </w:tc>
        <w:tc>
          <w:tcPr>
            <w:tcW w:w="3098" w:type="dxa"/>
            <w:tcBorders>
              <w:top w:val="nil"/>
              <w:left w:val="nil"/>
              <w:bottom w:val="single" w:color="000000" w:sz="8" w:space="0"/>
              <w:right w:val="single" w:color="000000" w:sz="8" w:space="0"/>
            </w:tcBorders>
            <w:shd w:val="clear" w:color="auto" w:fill="auto"/>
            <w:vAlign w:val="center"/>
          </w:tcPr>
          <w:p>
            <w:pPr>
              <w:rPr>
                <w:rFonts w:ascii="Times New Roman" w:hAnsi="Times New Roman" w:eastAsia="宋体" w:cs="Times New Roman"/>
                <w:b/>
                <w:bCs/>
                <w:sz w:val="22"/>
              </w:rPr>
            </w:pPr>
            <w:r>
              <w:rPr>
                <w:rFonts w:hint="eastAsia" w:cs="Times New Roman"/>
                <w:b/>
                <w:bCs/>
                <w:sz w:val="22"/>
              </w:rPr>
              <w:t>山招</w:t>
            </w:r>
            <w:r>
              <w:rPr>
                <w:rFonts w:ascii="Times New Roman" w:hAnsi="Times New Roman" w:cs="Times New Roman"/>
                <w:b/>
                <w:bCs/>
                <w:sz w:val="22"/>
              </w:rPr>
              <w:t>YK02</w:t>
            </w:r>
          </w:p>
        </w:tc>
        <w:tc>
          <w:tcPr>
            <w:tcW w:w="1876" w:type="dxa"/>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债券</w:t>
            </w:r>
          </w:p>
        </w:tc>
        <w:tc>
          <w:tcPr>
            <w:tcW w:w="2483"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6.73%</w:t>
            </w:r>
          </w:p>
        </w:tc>
      </w:tr>
      <w:tr>
        <w:tblPrEx>
          <w:tblCellMar>
            <w:top w:w="0" w:type="dxa"/>
            <w:left w:w="108" w:type="dxa"/>
            <w:bottom w:w="0" w:type="dxa"/>
            <w:right w:w="108" w:type="dxa"/>
          </w:tblCellMar>
        </w:tblPrEx>
        <w:trPr>
          <w:trHeight w:val="430" w:hRule="atLeast"/>
          <w:jc w:val="center"/>
        </w:trPr>
        <w:tc>
          <w:tcPr>
            <w:tcW w:w="828"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4</w:t>
            </w:r>
          </w:p>
        </w:tc>
        <w:tc>
          <w:tcPr>
            <w:tcW w:w="3098" w:type="dxa"/>
            <w:tcBorders>
              <w:top w:val="nil"/>
              <w:left w:val="nil"/>
              <w:bottom w:val="single" w:color="000000" w:sz="8" w:space="0"/>
              <w:right w:val="single" w:color="000000" w:sz="8" w:space="0"/>
            </w:tcBorders>
            <w:shd w:val="clear" w:color="auto" w:fill="auto"/>
            <w:vAlign w:val="center"/>
          </w:tcPr>
          <w:p>
            <w:pPr>
              <w:rPr>
                <w:rFonts w:ascii="Times New Roman" w:hAnsi="Times New Roman" w:eastAsia="宋体" w:cs="Times New Roman"/>
                <w:b/>
                <w:bCs/>
                <w:sz w:val="22"/>
              </w:rPr>
            </w:pPr>
            <w:r>
              <w:rPr>
                <w:rFonts w:ascii="Times New Roman" w:hAnsi="Times New Roman" w:cs="Times New Roman"/>
                <w:b/>
                <w:bCs/>
                <w:sz w:val="22"/>
              </w:rPr>
              <w:t>24青岛黄岛MTN002</w:t>
            </w:r>
          </w:p>
        </w:tc>
        <w:tc>
          <w:tcPr>
            <w:tcW w:w="1876" w:type="dxa"/>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债券</w:t>
            </w:r>
          </w:p>
        </w:tc>
        <w:tc>
          <w:tcPr>
            <w:tcW w:w="2483"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6.69%</w:t>
            </w:r>
          </w:p>
        </w:tc>
      </w:tr>
      <w:tr>
        <w:tblPrEx>
          <w:tblCellMar>
            <w:top w:w="0" w:type="dxa"/>
            <w:left w:w="108" w:type="dxa"/>
            <w:bottom w:w="0" w:type="dxa"/>
            <w:right w:w="108" w:type="dxa"/>
          </w:tblCellMar>
        </w:tblPrEx>
        <w:trPr>
          <w:trHeight w:val="430" w:hRule="atLeast"/>
          <w:jc w:val="center"/>
        </w:trPr>
        <w:tc>
          <w:tcPr>
            <w:tcW w:w="828"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5</w:t>
            </w:r>
          </w:p>
        </w:tc>
        <w:tc>
          <w:tcPr>
            <w:tcW w:w="3098" w:type="dxa"/>
            <w:tcBorders>
              <w:top w:val="nil"/>
              <w:left w:val="nil"/>
              <w:bottom w:val="single" w:color="000000" w:sz="8" w:space="0"/>
              <w:right w:val="single" w:color="000000" w:sz="8" w:space="0"/>
            </w:tcBorders>
            <w:shd w:val="clear" w:color="auto" w:fill="auto"/>
            <w:vAlign w:val="center"/>
          </w:tcPr>
          <w:p>
            <w:pPr>
              <w:rPr>
                <w:rFonts w:ascii="Times New Roman" w:hAnsi="Times New Roman" w:eastAsia="宋体" w:cs="Times New Roman"/>
                <w:b/>
                <w:bCs/>
                <w:sz w:val="22"/>
              </w:rPr>
            </w:pPr>
            <w:r>
              <w:rPr>
                <w:rFonts w:ascii="Times New Roman" w:hAnsi="Times New Roman" w:cs="Times New Roman"/>
                <w:b/>
                <w:bCs/>
                <w:sz w:val="22"/>
              </w:rPr>
              <w:t>24</w:t>
            </w:r>
            <w:r>
              <w:rPr>
                <w:rFonts w:hint="eastAsia" w:cs="Times New Roman"/>
                <w:b/>
                <w:bCs/>
                <w:sz w:val="22"/>
              </w:rPr>
              <w:t>聊城财信</w:t>
            </w:r>
            <w:r>
              <w:rPr>
                <w:rFonts w:ascii="Times New Roman" w:hAnsi="Times New Roman" w:cs="Times New Roman"/>
                <w:b/>
                <w:bCs/>
                <w:sz w:val="22"/>
              </w:rPr>
              <w:t>PPN001</w:t>
            </w:r>
          </w:p>
        </w:tc>
        <w:tc>
          <w:tcPr>
            <w:tcW w:w="1876" w:type="dxa"/>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债券</w:t>
            </w:r>
          </w:p>
        </w:tc>
        <w:tc>
          <w:tcPr>
            <w:tcW w:w="2483"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6.53%</w:t>
            </w:r>
          </w:p>
        </w:tc>
      </w:tr>
      <w:tr>
        <w:tblPrEx>
          <w:tblCellMar>
            <w:top w:w="0" w:type="dxa"/>
            <w:left w:w="108" w:type="dxa"/>
            <w:bottom w:w="0" w:type="dxa"/>
            <w:right w:w="108" w:type="dxa"/>
          </w:tblCellMar>
        </w:tblPrEx>
        <w:trPr>
          <w:trHeight w:val="430" w:hRule="atLeast"/>
          <w:jc w:val="center"/>
        </w:trPr>
        <w:tc>
          <w:tcPr>
            <w:tcW w:w="828"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6</w:t>
            </w:r>
          </w:p>
        </w:tc>
        <w:tc>
          <w:tcPr>
            <w:tcW w:w="3098" w:type="dxa"/>
            <w:tcBorders>
              <w:top w:val="nil"/>
              <w:left w:val="nil"/>
              <w:bottom w:val="single" w:color="000000" w:sz="8" w:space="0"/>
              <w:right w:val="single" w:color="000000" w:sz="8" w:space="0"/>
            </w:tcBorders>
            <w:shd w:val="clear" w:color="auto" w:fill="auto"/>
            <w:vAlign w:val="center"/>
          </w:tcPr>
          <w:p>
            <w:pPr>
              <w:rPr>
                <w:rFonts w:ascii="Times New Roman" w:hAnsi="Times New Roman" w:eastAsia="宋体" w:cs="Times New Roman"/>
                <w:b/>
                <w:bCs/>
                <w:sz w:val="22"/>
              </w:rPr>
            </w:pPr>
            <w:r>
              <w:rPr>
                <w:rFonts w:ascii="Times New Roman" w:hAnsi="Times New Roman" w:cs="Times New Roman"/>
                <w:b/>
                <w:bCs/>
                <w:sz w:val="22"/>
              </w:rPr>
              <w:t>25</w:t>
            </w:r>
            <w:r>
              <w:rPr>
                <w:rFonts w:hint="eastAsia" w:cs="Times New Roman"/>
                <w:b/>
                <w:bCs/>
                <w:sz w:val="22"/>
              </w:rPr>
              <w:t>贵州银行</w:t>
            </w:r>
            <w:r>
              <w:rPr>
                <w:rFonts w:ascii="Times New Roman" w:hAnsi="Times New Roman" w:cs="Times New Roman"/>
                <w:b/>
                <w:bCs/>
                <w:sz w:val="22"/>
              </w:rPr>
              <w:t>CD053</w:t>
            </w:r>
          </w:p>
        </w:tc>
        <w:tc>
          <w:tcPr>
            <w:tcW w:w="1876" w:type="dxa"/>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同业存单</w:t>
            </w:r>
          </w:p>
        </w:tc>
        <w:tc>
          <w:tcPr>
            <w:tcW w:w="2483"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6.43%</w:t>
            </w:r>
          </w:p>
        </w:tc>
      </w:tr>
      <w:tr>
        <w:tblPrEx>
          <w:tblCellMar>
            <w:top w:w="0" w:type="dxa"/>
            <w:left w:w="108" w:type="dxa"/>
            <w:bottom w:w="0" w:type="dxa"/>
            <w:right w:w="108" w:type="dxa"/>
          </w:tblCellMar>
        </w:tblPrEx>
        <w:trPr>
          <w:trHeight w:val="430" w:hRule="atLeast"/>
          <w:jc w:val="center"/>
        </w:trPr>
        <w:tc>
          <w:tcPr>
            <w:tcW w:w="828"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7</w:t>
            </w:r>
          </w:p>
        </w:tc>
        <w:tc>
          <w:tcPr>
            <w:tcW w:w="3098" w:type="dxa"/>
            <w:tcBorders>
              <w:top w:val="nil"/>
              <w:left w:val="nil"/>
              <w:bottom w:val="single" w:color="000000" w:sz="8" w:space="0"/>
              <w:right w:val="single" w:color="000000" w:sz="8" w:space="0"/>
            </w:tcBorders>
            <w:shd w:val="clear" w:color="auto" w:fill="auto"/>
            <w:vAlign w:val="center"/>
          </w:tcPr>
          <w:p>
            <w:pPr>
              <w:rPr>
                <w:rFonts w:ascii="Times New Roman" w:hAnsi="Times New Roman" w:eastAsia="宋体" w:cs="Times New Roman"/>
                <w:b/>
                <w:bCs/>
                <w:sz w:val="22"/>
              </w:rPr>
            </w:pPr>
            <w:r>
              <w:rPr>
                <w:rFonts w:ascii="Times New Roman" w:hAnsi="Times New Roman" w:cs="Times New Roman"/>
                <w:b/>
                <w:bCs/>
                <w:sz w:val="22"/>
              </w:rPr>
              <w:t>25</w:t>
            </w:r>
            <w:r>
              <w:rPr>
                <w:rFonts w:hint="eastAsia" w:cs="Times New Roman"/>
                <w:b/>
                <w:bCs/>
                <w:sz w:val="22"/>
              </w:rPr>
              <w:t>汉口银行</w:t>
            </w:r>
            <w:r>
              <w:rPr>
                <w:rFonts w:ascii="Times New Roman" w:hAnsi="Times New Roman" w:cs="Times New Roman"/>
                <w:b/>
                <w:bCs/>
                <w:sz w:val="22"/>
              </w:rPr>
              <w:t>CD047</w:t>
            </w:r>
          </w:p>
        </w:tc>
        <w:tc>
          <w:tcPr>
            <w:tcW w:w="1876" w:type="dxa"/>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同业存单</w:t>
            </w:r>
          </w:p>
        </w:tc>
        <w:tc>
          <w:tcPr>
            <w:tcW w:w="2483"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6.43%</w:t>
            </w:r>
          </w:p>
        </w:tc>
      </w:tr>
      <w:tr>
        <w:tblPrEx>
          <w:tblCellMar>
            <w:top w:w="0" w:type="dxa"/>
            <w:left w:w="108" w:type="dxa"/>
            <w:bottom w:w="0" w:type="dxa"/>
            <w:right w:w="108" w:type="dxa"/>
          </w:tblCellMar>
        </w:tblPrEx>
        <w:trPr>
          <w:trHeight w:val="430" w:hRule="atLeast"/>
          <w:jc w:val="center"/>
        </w:trPr>
        <w:tc>
          <w:tcPr>
            <w:tcW w:w="828"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8</w:t>
            </w:r>
          </w:p>
        </w:tc>
        <w:tc>
          <w:tcPr>
            <w:tcW w:w="3098" w:type="dxa"/>
            <w:tcBorders>
              <w:top w:val="nil"/>
              <w:left w:val="nil"/>
              <w:bottom w:val="single" w:color="000000" w:sz="8" w:space="0"/>
              <w:right w:val="single" w:color="000000" w:sz="8" w:space="0"/>
            </w:tcBorders>
            <w:shd w:val="clear" w:color="auto" w:fill="auto"/>
            <w:vAlign w:val="center"/>
          </w:tcPr>
          <w:p>
            <w:pPr>
              <w:rPr>
                <w:rFonts w:ascii="Times New Roman" w:hAnsi="Times New Roman" w:eastAsia="宋体" w:cs="Times New Roman"/>
                <w:b/>
                <w:bCs/>
                <w:sz w:val="22"/>
              </w:rPr>
            </w:pPr>
            <w:r>
              <w:rPr>
                <w:rFonts w:ascii="Times New Roman" w:hAnsi="Times New Roman" w:cs="Times New Roman"/>
                <w:b/>
                <w:bCs/>
                <w:sz w:val="22"/>
              </w:rPr>
              <w:t>25</w:t>
            </w:r>
            <w:r>
              <w:rPr>
                <w:rFonts w:hint="eastAsia" w:cs="Times New Roman"/>
                <w:b/>
                <w:bCs/>
                <w:sz w:val="22"/>
              </w:rPr>
              <w:t>四川银行</w:t>
            </w:r>
            <w:r>
              <w:rPr>
                <w:rFonts w:ascii="Times New Roman" w:hAnsi="Times New Roman" w:cs="Times New Roman"/>
                <w:b/>
                <w:bCs/>
                <w:sz w:val="22"/>
              </w:rPr>
              <w:t>CD104</w:t>
            </w:r>
          </w:p>
        </w:tc>
        <w:tc>
          <w:tcPr>
            <w:tcW w:w="1876" w:type="dxa"/>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同业存单</w:t>
            </w:r>
          </w:p>
        </w:tc>
        <w:tc>
          <w:tcPr>
            <w:tcW w:w="2483"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6.43%</w:t>
            </w:r>
          </w:p>
        </w:tc>
      </w:tr>
      <w:tr>
        <w:tblPrEx>
          <w:tblCellMar>
            <w:top w:w="0" w:type="dxa"/>
            <w:left w:w="108" w:type="dxa"/>
            <w:bottom w:w="0" w:type="dxa"/>
            <w:right w:w="108" w:type="dxa"/>
          </w:tblCellMar>
        </w:tblPrEx>
        <w:trPr>
          <w:trHeight w:val="430" w:hRule="atLeast"/>
          <w:jc w:val="center"/>
        </w:trPr>
        <w:tc>
          <w:tcPr>
            <w:tcW w:w="828"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9</w:t>
            </w:r>
          </w:p>
        </w:tc>
        <w:tc>
          <w:tcPr>
            <w:tcW w:w="3098" w:type="dxa"/>
            <w:tcBorders>
              <w:top w:val="nil"/>
              <w:left w:val="nil"/>
              <w:bottom w:val="single" w:color="000000" w:sz="8" w:space="0"/>
              <w:right w:val="single" w:color="000000" w:sz="8" w:space="0"/>
            </w:tcBorders>
            <w:shd w:val="clear" w:color="auto" w:fill="auto"/>
            <w:vAlign w:val="center"/>
          </w:tcPr>
          <w:p>
            <w:pPr>
              <w:rPr>
                <w:rFonts w:ascii="Times New Roman" w:hAnsi="Times New Roman" w:eastAsia="宋体" w:cs="Times New Roman"/>
                <w:b/>
                <w:bCs/>
                <w:sz w:val="22"/>
              </w:rPr>
            </w:pPr>
            <w:r>
              <w:rPr>
                <w:rFonts w:ascii="Times New Roman" w:hAnsi="Times New Roman" w:cs="Times New Roman"/>
                <w:b/>
                <w:bCs/>
                <w:sz w:val="22"/>
              </w:rPr>
              <w:t>25济宁银行CD022</w:t>
            </w:r>
          </w:p>
        </w:tc>
        <w:tc>
          <w:tcPr>
            <w:tcW w:w="1876" w:type="dxa"/>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同业存单</w:t>
            </w:r>
          </w:p>
        </w:tc>
        <w:tc>
          <w:tcPr>
            <w:tcW w:w="2483"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6.41%</w:t>
            </w:r>
          </w:p>
        </w:tc>
      </w:tr>
      <w:tr>
        <w:tblPrEx>
          <w:tblCellMar>
            <w:top w:w="0" w:type="dxa"/>
            <w:left w:w="108" w:type="dxa"/>
            <w:bottom w:w="0" w:type="dxa"/>
            <w:right w:w="108" w:type="dxa"/>
          </w:tblCellMar>
        </w:tblPrEx>
        <w:trPr>
          <w:trHeight w:val="430" w:hRule="atLeast"/>
          <w:jc w:val="center"/>
        </w:trPr>
        <w:tc>
          <w:tcPr>
            <w:tcW w:w="828"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10</w:t>
            </w:r>
          </w:p>
        </w:tc>
        <w:tc>
          <w:tcPr>
            <w:tcW w:w="3098" w:type="dxa"/>
            <w:tcBorders>
              <w:top w:val="nil"/>
              <w:left w:val="nil"/>
              <w:bottom w:val="single" w:color="000000" w:sz="8" w:space="0"/>
              <w:right w:val="single" w:color="000000" w:sz="8" w:space="0"/>
            </w:tcBorders>
            <w:shd w:val="clear" w:color="auto" w:fill="auto"/>
            <w:vAlign w:val="center"/>
          </w:tcPr>
          <w:p>
            <w:pPr>
              <w:rPr>
                <w:rFonts w:ascii="Times New Roman" w:hAnsi="Times New Roman" w:eastAsia="宋体" w:cs="Times New Roman"/>
                <w:b/>
                <w:bCs/>
                <w:sz w:val="22"/>
              </w:rPr>
            </w:pPr>
            <w:r>
              <w:rPr>
                <w:rFonts w:ascii="Times New Roman" w:hAnsi="Times New Roman" w:cs="Times New Roman"/>
                <w:b/>
                <w:bCs/>
                <w:sz w:val="22"/>
              </w:rPr>
              <w:t>25</w:t>
            </w:r>
            <w:r>
              <w:rPr>
                <w:rFonts w:hint="eastAsia" w:cs="Times New Roman"/>
                <w:b/>
                <w:bCs/>
                <w:sz w:val="22"/>
              </w:rPr>
              <w:t>甘肃银行</w:t>
            </w:r>
            <w:r>
              <w:rPr>
                <w:rFonts w:ascii="Times New Roman" w:hAnsi="Times New Roman" w:cs="Times New Roman"/>
                <w:b/>
                <w:bCs/>
                <w:sz w:val="22"/>
              </w:rPr>
              <w:t>CD080</w:t>
            </w:r>
          </w:p>
        </w:tc>
        <w:tc>
          <w:tcPr>
            <w:tcW w:w="1876" w:type="dxa"/>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同业存单</w:t>
            </w:r>
          </w:p>
        </w:tc>
        <w:tc>
          <w:tcPr>
            <w:tcW w:w="2483"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6.41%</w:t>
            </w:r>
          </w:p>
        </w:tc>
      </w:tr>
    </w:tbl>
    <w:p>
      <w:pPr>
        <w:widowControl/>
        <w:shd w:val="clear" w:color="auto" w:fill="FFFFFF"/>
        <w:spacing w:line="360" w:lineRule="atLeast"/>
        <w:rPr>
          <w:rFonts w:ascii="微软雅黑" w:hAnsi="微软雅黑" w:eastAsia="微软雅黑" w:cs="宋体"/>
          <w:color w:val="000000"/>
          <w:kern w:val="0"/>
          <w:sz w:val="15"/>
          <w:szCs w:val="15"/>
        </w:rPr>
      </w:pPr>
      <w:r>
        <w:rPr>
          <w:rFonts w:hint="eastAsia" w:ascii="微软雅黑" w:hAnsi="微软雅黑" w:eastAsia="微软雅黑" w:cs="宋体"/>
          <w:color w:val="000000"/>
          <w:kern w:val="0"/>
          <w:sz w:val="15"/>
          <w:szCs w:val="15"/>
        </w:rPr>
        <w:t>注：前十项资产明细仅包含证券投资、场外投资等资产，不包含银行存款、存出保证金、清算备付金、正逆回购等。</w:t>
      </w:r>
    </w:p>
    <w:p>
      <w:pPr>
        <w:widowControl/>
        <w:shd w:val="clear" w:color="auto" w:fill="FFFFFF"/>
        <w:spacing w:after="75"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2.4 </w:t>
      </w:r>
      <w:r>
        <w:rPr>
          <w:rFonts w:hint="eastAsia" w:ascii="宋体" w:hAnsi="宋体" w:eastAsia="宋体" w:cs="宋体"/>
          <w:b/>
          <w:bCs/>
          <w:color w:val="000000"/>
          <w:kern w:val="0"/>
          <w:sz w:val="27"/>
          <w:szCs w:val="27"/>
        </w:rPr>
        <w:t>期末产品持有的非标准化债权类资产</w:t>
      </w:r>
    </w:p>
    <w:p>
      <w:pPr>
        <w:widowControl/>
        <w:shd w:val="clear" w:color="auto" w:fill="FFFFFF"/>
        <w:spacing w:after="75" w:line="360" w:lineRule="atLeast"/>
        <w:rPr>
          <w:rFonts w:ascii="微软雅黑" w:hAnsi="微软雅黑" w:eastAsia="微软雅黑" w:cs="宋体"/>
          <w:color w:val="000000"/>
          <w:kern w:val="0"/>
          <w:sz w:val="27"/>
          <w:szCs w:val="27"/>
        </w:rPr>
      </w:pPr>
      <w:r>
        <w:rPr>
          <w:rFonts w:hint="eastAsia" w:ascii="宋体" w:hAnsi="宋体" w:eastAsia="宋体" w:cs="宋体"/>
          <w:iCs/>
          <w:color w:val="000000"/>
          <w:kern w:val="0"/>
          <w:sz w:val="27"/>
          <w:szCs w:val="27"/>
        </w:rPr>
        <w:t xml:space="preserve">    该产品报告期末未持有非标准化债权类资产。</w:t>
      </w:r>
    </w:p>
    <w:p>
      <w:pPr>
        <w:widowControl/>
        <w:shd w:val="clear" w:color="auto" w:fill="FFFFFF"/>
        <w:spacing w:after="75"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2.5 </w:t>
      </w:r>
      <w:r>
        <w:rPr>
          <w:rFonts w:hint="eastAsia" w:ascii="宋体" w:hAnsi="宋体" w:eastAsia="宋体" w:cs="宋体"/>
          <w:b/>
          <w:bCs/>
          <w:color w:val="000000"/>
          <w:kern w:val="0"/>
          <w:sz w:val="27"/>
          <w:szCs w:val="27"/>
        </w:rPr>
        <w:t>关联交易情况</w:t>
      </w:r>
    </w:p>
    <w:p>
      <w:pPr>
        <w:widowControl/>
        <w:shd w:val="clear" w:color="auto" w:fill="FFFFFF"/>
        <w:spacing w:after="75" w:line="360" w:lineRule="atLeast"/>
        <w:rPr>
          <w:rFonts w:ascii="宋体" w:hAnsi="宋体" w:eastAsia="宋体" w:cs="宋体"/>
          <w:iCs/>
          <w:color w:val="000000"/>
          <w:kern w:val="0"/>
          <w:sz w:val="27"/>
          <w:szCs w:val="27"/>
        </w:rPr>
      </w:pPr>
      <w:r>
        <w:rPr>
          <w:rFonts w:hint="eastAsia" w:ascii="宋体" w:hAnsi="宋体" w:eastAsia="宋体" w:cs="宋体"/>
          <w:iCs/>
          <w:color w:val="000000"/>
          <w:kern w:val="0"/>
          <w:sz w:val="27"/>
          <w:szCs w:val="27"/>
        </w:rPr>
        <w:t>（1）理财产品投资与本公司或托管机构有重大利害关系的机构发行或承销的证券</w:t>
      </w:r>
    </w:p>
    <w:p>
      <w:pPr>
        <w:widowControl/>
        <w:shd w:val="clear" w:color="auto" w:fill="FFFFFF"/>
        <w:spacing w:line="360" w:lineRule="atLeast"/>
        <w:rPr>
          <w:rFonts w:ascii="宋体" w:hAnsi="宋体" w:eastAsia="宋体" w:cs="宋体"/>
          <w:iCs/>
          <w:color w:val="000000"/>
          <w:kern w:val="0"/>
          <w:sz w:val="27"/>
          <w:szCs w:val="27"/>
        </w:rPr>
      </w:pPr>
      <w:r>
        <w:rPr>
          <w:rFonts w:hint="eastAsia" w:ascii="宋体" w:hAnsi="宋体" w:eastAsia="宋体" w:cs="宋体"/>
          <w:iCs/>
          <w:color w:val="000000"/>
          <w:kern w:val="0"/>
          <w:sz w:val="27"/>
          <w:szCs w:val="27"/>
        </w:rPr>
        <w:t>无</w:t>
      </w:r>
    </w:p>
    <w:p>
      <w:pPr>
        <w:widowControl/>
        <w:shd w:val="clear" w:color="auto" w:fill="FFFFFF"/>
        <w:spacing w:after="75" w:line="360" w:lineRule="atLeast"/>
        <w:rPr>
          <w:rFonts w:ascii="宋体" w:hAnsi="宋体" w:eastAsia="宋体" w:cs="宋体"/>
          <w:iCs/>
          <w:color w:val="000000"/>
          <w:kern w:val="0"/>
          <w:sz w:val="27"/>
          <w:szCs w:val="27"/>
        </w:rPr>
      </w:pPr>
      <w:r>
        <w:rPr>
          <w:rFonts w:hint="eastAsia" w:ascii="宋体" w:hAnsi="宋体" w:eastAsia="宋体" w:cs="宋体"/>
          <w:iCs/>
          <w:color w:val="000000"/>
          <w:kern w:val="0"/>
          <w:sz w:val="27"/>
          <w:szCs w:val="27"/>
        </w:rPr>
        <w:t>（2）其他重大关联交易</w:t>
      </w:r>
    </w:p>
    <w:p>
      <w:pPr>
        <w:widowControl/>
        <w:shd w:val="clear" w:color="auto" w:fill="FFFFFF"/>
        <w:spacing w:line="360" w:lineRule="atLeast"/>
        <w:rPr>
          <w:rFonts w:ascii="宋体" w:hAnsi="宋体" w:eastAsia="宋体" w:cs="宋体"/>
          <w:iCs/>
          <w:color w:val="000000"/>
          <w:kern w:val="0"/>
          <w:sz w:val="27"/>
          <w:szCs w:val="27"/>
        </w:rPr>
      </w:pPr>
      <w:r>
        <w:rPr>
          <w:rFonts w:hint="eastAsia" w:ascii="宋体" w:hAnsi="宋体" w:eastAsia="宋体" w:cs="宋体"/>
          <w:iCs/>
          <w:color w:val="000000"/>
          <w:kern w:val="0"/>
          <w:sz w:val="27"/>
          <w:szCs w:val="27"/>
        </w:rPr>
        <w:t>无</w:t>
      </w:r>
    </w:p>
    <w:p>
      <w:pPr>
        <w:widowControl/>
        <w:shd w:val="clear" w:color="auto" w:fill="FFFFFF"/>
        <w:spacing w:after="75" w:line="360" w:lineRule="atLeast"/>
        <w:rPr>
          <w:rFonts w:ascii="宋体" w:hAnsi="宋体" w:eastAsia="宋体" w:cs="宋体"/>
          <w:b/>
          <w:bCs/>
          <w:color w:val="000000"/>
          <w:kern w:val="0"/>
          <w:sz w:val="27"/>
          <w:szCs w:val="27"/>
        </w:rPr>
      </w:pPr>
    </w:p>
    <w:p>
      <w:pPr>
        <w:widowControl/>
        <w:shd w:val="clear" w:color="auto" w:fill="FFFFFF"/>
        <w:spacing w:after="75" w:line="360" w:lineRule="atLeast"/>
        <w:jc w:val="center"/>
        <w:rPr>
          <w:rFonts w:ascii="微软雅黑" w:hAnsi="微软雅黑" w:eastAsia="微软雅黑" w:cs="宋体"/>
          <w:color w:val="000000"/>
          <w:kern w:val="0"/>
          <w:sz w:val="27"/>
          <w:szCs w:val="27"/>
        </w:rPr>
      </w:pPr>
      <w:r>
        <w:rPr>
          <w:rFonts w:hint="eastAsia" w:ascii="宋体" w:hAnsi="宋体" w:eastAsia="宋体" w:cs="宋体"/>
          <w:b/>
          <w:bCs/>
          <w:color w:val="000000"/>
          <w:kern w:val="0"/>
          <w:sz w:val="27"/>
          <w:szCs w:val="27"/>
        </w:rPr>
        <w:t>第三章</w:t>
      </w:r>
      <w:r>
        <w:rPr>
          <w:rFonts w:hint="eastAsia" w:ascii="微软雅黑" w:hAnsi="微软雅黑" w:eastAsia="微软雅黑" w:cs="宋体"/>
          <w:b/>
          <w:bCs/>
          <w:color w:val="000000"/>
          <w:kern w:val="0"/>
          <w:sz w:val="27"/>
          <w:szCs w:val="27"/>
        </w:rPr>
        <w:t> </w:t>
      </w:r>
      <w:r>
        <w:rPr>
          <w:rFonts w:hint="eastAsia" w:ascii="宋体" w:hAnsi="宋体" w:eastAsia="宋体" w:cs="宋体"/>
          <w:b/>
          <w:bCs/>
          <w:color w:val="000000"/>
          <w:kern w:val="0"/>
          <w:sz w:val="27"/>
          <w:szCs w:val="27"/>
        </w:rPr>
        <w:t>管理人报告</w:t>
      </w:r>
    </w:p>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 xml:space="preserve">    3.1 报告期内产品投资策略</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29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295" w:type="dxa"/>
            <w:tcBorders>
              <w:top w:val="outset" w:color="000000" w:sz="6" w:space="0"/>
              <w:left w:val="outset" w:color="000000" w:sz="6" w:space="0"/>
              <w:bottom w:val="outset" w:color="000000" w:sz="6" w:space="0"/>
              <w:right w:val="outset" w:color="000000" w:sz="6" w:space="0"/>
            </w:tcBorders>
          </w:tcPr>
          <w:p>
            <w:pPr>
              <w:widowControl/>
              <w:spacing w:after="75" w:line="360" w:lineRule="auto"/>
              <w:ind w:firstLine="480" w:firstLineChars="200"/>
              <w:rPr>
                <w:rFonts w:ascii="宋体" w:hAnsi="宋体" w:eastAsia="宋体" w:cs="宋体"/>
                <w:kern w:val="0"/>
                <w:sz w:val="24"/>
                <w:szCs w:val="24"/>
              </w:rPr>
            </w:pPr>
            <w:r>
              <w:rPr>
                <w:rFonts w:ascii="宋体" w:hAnsi="宋体" w:eastAsia="宋体" w:cs="宋体"/>
                <w:iCs/>
                <w:kern w:val="0"/>
                <w:sz w:val="24"/>
                <w:szCs w:val="24"/>
              </w:rPr>
              <w:t>德州银行股份有限公司构建了严格规范的投资管理制度流程和完善的系统化投研体系，投资风格稳健审慎，交易纪律严格明确，严控底层资产质量，所投资资产均经严格审批与筛选。投资策略以固定收益资产为主，兼具大类资产配置，同时择机抓取交易波段机会，增厚收益，降低波动。</w:t>
            </w:r>
          </w:p>
        </w:tc>
      </w:tr>
    </w:tbl>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 xml:space="preserve">    3.2 产品未来表现展望</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29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295" w:type="dxa"/>
            <w:tcBorders>
              <w:top w:val="outset" w:color="000000" w:sz="6" w:space="0"/>
              <w:left w:val="outset" w:color="000000" w:sz="6" w:space="0"/>
              <w:bottom w:val="outset" w:color="000000" w:sz="6" w:space="0"/>
              <w:right w:val="outset" w:color="000000" w:sz="6" w:space="0"/>
            </w:tcBorders>
          </w:tcPr>
          <w:p>
            <w:pPr>
              <w:widowControl/>
              <w:spacing w:after="75" w:line="360" w:lineRule="auto"/>
              <w:ind w:firstLine="480" w:firstLineChars="200"/>
              <w:rPr>
                <w:rFonts w:ascii="宋体" w:hAnsi="宋体" w:eastAsia="宋体" w:cs="宋体"/>
                <w:kern w:val="0"/>
                <w:sz w:val="24"/>
                <w:szCs w:val="24"/>
              </w:rPr>
            </w:pPr>
            <w:r>
              <w:rPr>
                <w:rFonts w:ascii="宋体" w:hAnsi="宋体" w:eastAsia="宋体" w:cs="宋体"/>
                <w:iCs/>
                <w:kern w:val="0"/>
                <w:sz w:val="24"/>
                <w:szCs w:val="24"/>
              </w:rPr>
              <w:t>德州银行股份有限公司持续精细化产品净值管理，通过专业的投资团队、严格的风控体系，继续主打中低风险，坚持长期投资与绝对收益理念，通过对国内外宏观经济形势、金融市场运行情况的综合分析，主动构建及调整投资组合，提升理财产品持有人的投资体验度和获得感，打造有生命力的产品。</w:t>
            </w:r>
          </w:p>
        </w:tc>
      </w:tr>
    </w:tbl>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 xml:space="preserve">    3.3 产品流动性风险分析</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29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295" w:type="dxa"/>
            <w:tcBorders>
              <w:top w:val="outset" w:color="000000" w:sz="6" w:space="0"/>
              <w:left w:val="outset" w:color="000000" w:sz="6" w:space="0"/>
              <w:bottom w:val="outset" w:color="000000" w:sz="6" w:space="0"/>
              <w:right w:val="outset" w:color="000000" w:sz="6" w:space="0"/>
            </w:tcBorders>
          </w:tcPr>
          <w:p>
            <w:pPr>
              <w:widowControl/>
              <w:spacing w:after="75" w:line="360" w:lineRule="auto"/>
              <w:ind w:firstLine="480" w:firstLineChars="200"/>
              <w:rPr>
                <w:rFonts w:ascii="宋体" w:hAnsi="宋体" w:eastAsia="宋体" w:cs="宋体"/>
                <w:kern w:val="0"/>
                <w:sz w:val="24"/>
                <w:szCs w:val="24"/>
              </w:rPr>
            </w:pPr>
            <w:r>
              <w:rPr>
                <w:rFonts w:ascii="宋体" w:hAnsi="宋体" w:eastAsia="宋体" w:cs="宋体"/>
                <w:iCs/>
                <w:kern w:val="0"/>
                <w:sz w:val="24"/>
                <w:szCs w:val="24"/>
              </w:rPr>
              <w:t>流动性风险是指产品在履行与金融负债有关的义务时遇到资金短缺的风险。该产品的流动性风险主要来自于若投资品种所处的交易市场不活跃，可能带来资产变现困难或产品持仓资产在市场出现剧烈波动的情况下难以以合理价格变现的风险。</w:t>
            </w:r>
          </w:p>
          <w:p>
            <w:pPr>
              <w:widowControl/>
              <w:spacing w:after="75" w:line="360" w:lineRule="auto"/>
              <w:ind w:firstLine="480" w:firstLineChars="200"/>
              <w:rPr>
                <w:rFonts w:ascii="宋体" w:hAnsi="宋体" w:eastAsia="宋体" w:cs="宋体"/>
                <w:kern w:val="0"/>
                <w:sz w:val="24"/>
                <w:szCs w:val="24"/>
              </w:rPr>
            </w:pPr>
            <w:r>
              <w:rPr>
                <w:rFonts w:ascii="宋体" w:hAnsi="宋体" w:eastAsia="宋体" w:cs="宋体"/>
                <w:iCs/>
                <w:kern w:val="0"/>
                <w:sz w:val="24"/>
                <w:szCs w:val="24"/>
              </w:rPr>
              <w:t>该理财产品由我司自行管理运作，遵循合规性、审慎性、前瞻性、全面性等原则，根据对各期限利率变动的预判，采用久期控制下的主动性投资策略，通过对金融工具的投资交易，在控制风险和保证流动性的基础上，力争获得稳定的当期收益。流动性风险控制策略方面，坚持久期控制、均衡配置、分散化投资原则。日常运作中，对产品起息到期、申购赎回情况进行严密监控并预测流动性需求，保持投资组合中的可用现金头寸与之相匹配，并预备了快速可变现资产、回购等各类流动性管理工具，进行主动流动性管理，尽可能降低产品流动性风险，有效保障产品持有人利益。经评估，我司认为该产品流动性风险管理手段完善，流动性风险水平可控。</w:t>
            </w:r>
          </w:p>
        </w:tc>
      </w:tr>
    </w:tbl>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 xml:space="preserve">    3.4 </w:t>
      </w:r>
      <w:r>
        <w:rPr>
          <w:rFonts w:ascii="微软雅黑" w:hAnsi="微软雅黑" w:eastAsia="微软雅黑" w:cs="宋体"/>
          <w:b/>
          <w:bCs/>
          <w:color w:val="000000"/>
          <w:kern w:val="0"/>
          <w:sz w:val="27"/>
          <w:szCs w:val="27"/>
        </w:rPr>
        <w:t>理财投资组合其它风险分析</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29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295" w:type="dxa"/>
            <w:tcBorders>
              <w:top w:val="outset" w:color="000000" w:sz="6" w:space="0"/>
              <w:left w:val="outset" w:color="000000" w:sz="6" w:space="0"/>
              <w:bottom w:val="outset" w:color="000000" w:sz="6" w:space="0"/>
              <w:right w:val="outset" w:color="000000" w:sz="6" w:space="0"/>
            </w:tcBorders>
          </w:tcPr>
          <w:p>
            <w:pPr>
              <w:widowControl/>
              <w:spacing w:after="75" w:line="360" w:lineRule="auto"/>
              <w:ind w:firstLine="480" w:firstLineChars="200"/>
              <w:rPr>
                <w:rFonts w:ascii="宋体" w:hAnsi="宋体" w:eastAsia="宋体" w:cs="宋体"/>
                <w:kern w:val="0"/>
                <w:sz w:val="24"/>
                <w:szCs w:val="24"/>
              </w:rPr>
            </w:pPr>
            <w:r>
              <w:rPr>
                <w:rFonts w:hint="eastAsia" w:ascii="宋体" w:hAnsi="宋体" w:eastAsia="宋体" w:cs="宋体"/>
                <w:iCs/>
                <w:kern w:val="0"/>
                <w:sz w:val="24"/>
                <w:szCs w:val="24"/>
              </w:rPr>
              <w:t>德州银行股份有限公司</w:t>
            </w:r>
            <w:r>
              <w:rPr>
                <w:rFonts w:ascii="宋体" w:hAnsi="宋体" w:eastAsia="宋体" w:cs="宋体"/>
                <w:iCs/>
                <w:kern w:val="0"/>
                <w:sz w:val="24"/>
                <w:szCs w:val="24"/>
              </w:rPr>
              <w:t>理财产品运营过程中，积极建立风险监测指标体系，密切关注投资资产 品种、评级和集中度等相关指标，审慎评估理财投资组合风险，不断完善风险管理机制， 截至目前，各类风险总体可控。</w:t>
            </w:r>
          </w:p>
        </w:tc>
      </w:tr>
    </w:tbl>
    <w:p>
      <w:pPr>
        <w:widowControl/>
        <w:shd w:val="clear" w:color="auto" w:fill="FFFFFF"/>
        <w:spacing w:line="360" w:lineRule="atLeast"/>
        <w:jc w:val="center"/>
        <w:rPr>
          <w:rFonts w:ascii="宋体" w:hAnsi="宋体" w:eastAsia="宋体" w:cs="宋体"/>
          <w:b/>
          <w:bCs/>
          <w:color w:val="000000"/>
          <w:kern w:val="0"/>
          <w:sz w:val="27"/>
          <w:szCs w:val="27"/>
        </w:rPr>
      </w:pPr>
    </w:p>
    <w:p>
      <w:pPr>
        <w:widowControl/>
        <w:shd w:val="clear" w:color="auto" w:fill="FFFFFF"/>
        <w:spacing w:line="360" w:lineRule="atLeast"/>
        <w:jc w:val="center"/>
        <w:rPr>
          <w:rFonts w:ascii="微软雅黑" w:hAnsi="微软雅黑" w:eastAsia="微软雅黑" w:cs="宋体"/>
          <w:color w:val="000000"/>
          <w:kern w:val="0"/>
          <w:sz w:val="27"/>
          <w:szCs w:val="27"/>
        </w:rPr>
      </w:pPr>
      <w:r>
        <w:rPr>
          <w:rFonts w:hint="eastAsia" w:ascii="宋体" w:hAnsi="宋体" w:eastAsia="宋体" w:cs="宋体"/>
          <w:b/>
          <w:bCs/>
          <w:color w:val="000000"/>
          <w:kern w:val="0"/>
          <w:sz w:val="27"/>
          <w:szCs w:val="27"/>
        </w:rPr>
        <w:t>第四章</w:t>
      </w:r>
      <w:r>
        <w:rPr>
          <w:rFonts w:hint="eastAsia" w:ascii="微软雅黑" w:hAnsi="微软雅黑" w:eastAsia="微软雅黑" w:cs="宋体"/>
          <w:b/>
          <w:bCs/>
          <w:color w:val="000000"/>
          <w:kern w:val="0"/>
          <w:sz w:val="27"/>
          <w:szCs w:val="27"/>
        </w:rPr>
        <w:t> </w:t>
      </w:r>
      <w:r>
        <w:rPr>
          <w:rFonts w:hint="eastAsia" w:ascii="宋体" w:hAnsi="宋体" w:eastAsia="宋体" w:cs="宋体"/>
          <w:b/>
          <w:bCs/>
          <w:color w:val="000000"/>
          <w:kern w:val="0"/>
          <w:sz w:val="27"/>
          <w:szCs w:val="27"/>
        </w:rPr>
        <w:t>托管人报告</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29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295" w:type="dxa"/>
            <w:tcBorders>
              <w:top w:val="outset" w:color="000000" w:sz="6" w:space="0"/>
              <w:left w:val="outset" w:color="000000" w:sz="6" w:space="0"/>
              <w:bottom w:val="outset" w:color="000000" w:sz="6" w:space="0"/>
              <w:right w:val="outset" w:color="000000" w:sz="6" w:space="0"/>
            </w:tcBorders>
          </w:tcPr>
          <w:p>
            <w:pPr>
              <w:widowControl/>
              <w:spacing w:after="75" w:line="360" w:lineRule="auto"/>
              <w:rPr>
                <w:rFonts w:ascii="宋体" w:hAnsi="宋体" w:eastAsia="宋体" w:cs="宋体"/>
                <w:iCs/>
                <w:kern w:val="0"/>
                <w:sz w:val="24"/>
                <w:szCs w:val="24"/>
              </w:rPr>
            </w:pPr>
            <w:r>
              <w:rPr>
                <w:rFonts w:hint="eastAsia" w:ascii="宋体" w:hAnsi="宋体" w:eastAsia="宋体" w:cs="宋体"/>
                <w:iCs/>
                <w:kern w:val="0"/>
                <w:sz w:val="24"/>
                <w:szCs w:val="24"/>
              </w:rPr>
              <w:t>德州银行股份有限公司:</w:t>
            </w:r>
          </w:p>
          <w:p>
            <w:pPr>
              <w:widowControl/>
              <w:spacing w:after="75" w:line="360" w:lineRule="auto"/>
              <w:ind w:firstLine="480" w:firstLineChars="200"/>
              <w:rPr>
                <w:rFonts w:ascii="宋体" w:hAnsi="宋体" w:eastAsia="宋体" w:cs="宋体"/>
                <w:iCs/>
                <w:kern w:val="0"/>
                <w:sz w:val="24"/>
                <w:szCs w:val="24"/>
              </w:rPr>
            </w:pPr>
            <w:r>
              <w:rPr>
                <w:rFonts w:hint="eastAsia" w:ascii="宋体" w:hAnsi="宋体" w:eastAsia="宋体" w:cs="宋体"/>
                <w:iCs/>
                <w:kern w:val="0"/>
                <w:sz w:val="24"/>
                <w:szCs w:val="24"/>
              </w:rPr>
              <w:t>根据德州银行股份有限公司与中泰证券股份有限公司签署的《托管合同》，中泰证券股份有限公司对本理财产品进行了托管。报告期内，我司在对本理财产品托管过程中，严格遵法律法规及托管合同约定，诚实信用、勤勉尽责地履行了托管人职责，不存在任何违反法律法规、托管合同约定及损害本理财产品投资者利益的行为。</w:t>
            </w:r>
          </w:p>
          <w:p>
            <w:pPr>
              <w:widowControl/>
              <w:spacing w:after="75" w:line="360" w:lineRule="auto"/>
              <w:jc w:val="right"/>
              <w:rPr>
                <w:rFonts w:ascii="宋体" w:hAnsi="宋体" w:eastAsia="宋体" w:cs="宋体"/>
                <w:iCs/>
                <w:kern w:val="0"/>
                <w:sz w:val="24"/>
                <w:szCs w:val="24"/>
              </w:rPr>
            </w:pPr>
            <w:r>
              <w:rPr>
                <w:rFonts w:hint="eastAsia" w:ascii="宋体" w:hAnsi="宋体" w:eastAsia="宋体" w:cs="宋体"/>
                <w:iCs/>
                <w:kern w:val="0"/>
                <w:sz w:val="24"/>
                <w:szCs w:val="24"/>
              </w:rPr>
              <w:t>中泰证券股份有限公司</w:t>
            </w:r>
          </w:p>
          <w:p>
            <w:pPr>
              <w:widowControl/>
              <w:spacing w:after="75" w:line="360" w:lineRule="auto"/>
              <w:ind w:firstLine="6120" w:firstLineChars="2550"/>
              <w:rPr>
                <w:rFonts w:ascii="宋体" w:hAnsi="宋体" w:eastAsia="宋体" w:cs="宋体"/>
                <w:kern w:val="0"/>
                <w:sz w:val="24"/>
                <w:szCs w:val="24"/>
              </w:rPr>
            </w:pPr>
            <w:r>
              <w:rPr>
                <w:rFonts w:hint="eastAsia" w:ascii="宋体" w:hAnsi="宋体" w:eastAsia="宋体" w:cs="宋体"/>
                <w:iCs/>
                <w:kern w:val="0"/>
                <w:sz w:val="24"/>
                <w:szCs w:val="24"/>
              </w:rPr>
              <w:t>2026年1月1</w:t>
            </w:r>
            <w:r>
              <w:rPr>
                <w:rFonts w:hint="eastAsia" w:ascii="宋体" w:hAnsi="宋体" w:eastAsia="宋体" w:cs="宋体"/>
                <w:iCs/>
                <w:kern w:val="0"/>
                <w:sz w:val="24"/>
                <w:szCs w:val="24"/>
                <w:lang w:val="en-US" w:eastAsia="zh-CN"/>
              </w:rPr>
              <w:t>2</w:t>
            </w:r>
            <w:bookmarkStart w:id="0" w:name="_GoBack"/>
            <w:bookmarkEnd w:id="0"/>
            <w:r>
              <w:rPr>
                <w:rFonts w:hint="eastAsia" w:ascii="宋体" w:hAnsi="宋体" w:eastAsia="宋体" w:cs="宋体"/>
                <w:iCs/>
                <w:kern w:val="0"/>
                <w:sz w:val="24"/>
                <w:szCs w:val="24"/>
              </w:rPr>
              <w:t>日</w:t>
            </w:r>
          </w:p>
        </w:tc>
      </w:tr>
    </w:tbl>
    <w:p>
      <w:pPr>
        <w:widowControl/>
        <w:shd w:val="clear" w:color="auto" w:fill="FFFFFF"/>
        <w:spacing w:after="75" w:line="360" w:lineRule="atLeast"/>
        <w:jc w:val="center"/>
        <w:rPr>
          <w:rFonts w:ascii="微软雅黑" w:hAnsi="微软雅黑" w:eastAsia="微软雅黑" w:cs="宋体"/>
          <w:color w:val="000000"/>
          <w:kern w:val="0"/>
          <w:sz w:val="27"/>
          <w:szCs w:val="27"/>
        </w:rPr>
      </w:pPr>
    </w:p>
    <w:p>
      <w:pPr>
        <w:widowControl/>
        <w:shd w:val="clear" w:color="auto" w:fill="FFFFFF"/>
        <w:spacing w:after="75" w:line="360" w:lineRule="atLeast"/>
        <w:jc w:val="center"/>
        <w:rPr>
          <w:rFonts w:ascii="微软雅黑" w:hAnsi="微软雅黑" w:eastAsia="微软雅黑" w:cs="宋体"/>
          <w:color w:val="000000"/>
          <w:kern w:val="0"/>
          <w:sz w:val="27"/>
          <w:szCs w:val="27"/>
        </w:rPr>
      </w:pPr>
      <w:r>
        <w:rPr>
          <w:rFonts w:hint="eastAsia" w:ascii="宋体" w:hAnsi="宋体" w:eastAsia="宋体" w:cs="宋体"/>
          <w:b/>
          <w:bCs/>
          <w:color w:val="000000"/>
          <w:kern w:val="0"/>
          <w:sz w:val="27"/>
          <w:szCs w:val="27"/>
        </w:rPr>
        <w:t>第五章</w:t>
      </w:r>
      <w:r>
        <w:rPr>
          <w:rFonts w:hint="eastAsia" w:ascii="微软雅黑" w:hAnsi="微软雅黑" w:eastAsia="微软雅黑" w:cs="宋体"/>
          <w:b/>
          <w:bCs/>
          <w:color w:val="000000"/>
          <w:kern w:val="0"/>
          <w:sz w:val="27"/>
          <w:szCs w:val="27"/>
        </w:rPr>
        <w:t> </w:t>
      </w:r>
      <w:r>
        <w:rPr>
          <w:rFonts w:hint="eastAsia" w:ascii="宋体" w:hAnsi="宋体" w:eastAsia="宋体" w:cs="宋体"/>
          <w:b/>
          <w:bCs/>
          <w:color w:val="000000"/>
          <w:kern w:val="0"/>
          <w:sz w:val="27"/>
          <w:szCs w:val="27"/>
        </w:rPr>
        <w:t>投资账户信息</w:t>
      </w:r>
    </w:p>
    <w:tbl>
      <w:tblPr>
        <w:tblStyle w:val="7"/>
        <w:tblW w:w="0" w:type="auto"/>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739"/>
        <w:gridCol w:w="1134"/>
        <w:gridCol w:w="2410"/>
        <w:gridCol w:w="2549"/>
        <w:gridCol w:w="1534"/>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jc w:val="center"/>
        </w:trPr>
        <w:tc>
          <w:tcPr>
            <w:tcW w:w="73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序号</w:t>
            </w:r>
          </w:p>
        </w:tc>
        <w:tc>
          <w:tcPr>
            <w:tcW w:w="1134"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账户类型</w:t>
            </w:r>
          </w:p>
        </w:tc>
        <w:tc>
          <w:tcPr>
            <w:tcW w:w="241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账户编号</w:t>
            </w:r>
          </w:p>
        </w:tc>
        <w:tc>
          <w:tcPr>
            <w:tcW w:w="254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账户名称</w:t>
            </w:r>
          </w:p>
        </w:tc>
        <w:tc>
          <w:tcPr>
            <w:tcW w:w="1534"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开户</w:t>
            </w:r>
            <w:r>
              <w:rPr>
                <w:rFonts w:hint="eastAsia" w:ascii="宋体" w:hAnsi="宋体" w:eastAsia="宋体" w:cs="宋体"/>
                <w:b/>
                <w:bCs/>
                <w:kern w:val="0"/>
                <w:sz w:val="24"/>
                <w:szCs w:val="24"/>
              </w:rPr>
              <w:t>银行</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jc w:val="center"/>
        </w:trPr>
        <w:tc>
          <w:tcPr>
            <w:tcW w:w="73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Cs/>
                <w:kern w:val="0"/>
                <w:sz w:val="24"/>
                <w:szCs w:val="24"/>
              </w:rPr>
              <w:t>1</w:t>
            </w:r>
          </w:p>
        </w:tc>
        <w:tc>
          <w:tcPr>
            <w:tcW w:w="1134"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资金托管账户</w:t>
            </w:r>
          </w:p>
        </w:tc>
        <w:tc>
          <w:tcPr>
            <w:tcW w:w="241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3760201001002</w:t>
            </w:r>
            <w:r>
              <w:rPr>
                <w:rFonts w:hint="eastAsia" w:ascii="宋体" w:hAnsi="宋体" w:eastAsia="宋体" w:cs="宋体"/>
                <w:kern w:val="0"/>
                <w:sz w:val="24"/>
                <w:szCs w:val="24"/>
              </w:rPr>
              <w:t>21501</w:t>
            </w:r>
          </w:p>
        </w:tc>
        <w:tc>
          <w:tcPr>
            <w:tcW w:w="254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hint="eastAsia" w:ascii="宋体" w:hAnsi="宋体" w:cs="宋体"/>
                <w:kern w:val="0"/>
                <w:szCs w:val="21"/>
              </w:rPr>
              <w:t>2022年德财富—定开宝系列（182天定开）开放式净值型人民币理财</w:t>
            </w:r>
          </w:p>
        </w:tc>
        <w:tc>
          <w:tcPr>
            <w:tcW w:w="1534"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hint="eastAsia" w:ascii="宋体" w:hAnsi="宋体" w:eastAsia="宋体" w:cs="宋体"/>
                <w:kern w:val="0"/>
                <w:sz w:val="24"/>
                <w:szCs w:val="24"/>
              </w:rPr>
              <w:t>兴业银行济南市中支行</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C12F36"/>
    <w:rsid w:val="00016B18"/>
    <w:rsid w:val="00067CE4"/>
    <w:rsid w:val="00081951"/>
    <w:rsid w:val="00096174"/>
    <w:rsid w:val="000B0514"/>
    <w:rsid w:val="000C2625"/>
    <w:rsid w:val="000C69FB"/>
    <w:rsid w:val="000D2BB4"/>
    <w:rsid w:val="000F5C98"/>
    <w:rsid w:val="00100739"/>
    <w:rsid w:val="001419A2"/>
    <w:rsid w:val="0014565D"/>
    <w:rsid w:val="00154716"/>
    <w:rsid w:val="001A0F04"/>
    <w:rsid w:val="001C370C"/>
    <w:rsid w:val="0025380D"/>
    <w:rsid w:val="00256786"/>
    <w:rsid w:val="002703A2"/>
    <w:rsid w:val="002C0396"/>
    <w:rsid w:val="002C6074"/>
    <w:rsid w:val="002D1C91"/>
    <w:rsid w:val="002D27FB"/>
    <w:rsid w:val="002D70B9"/>
    <w:rsid w:val="00341A0B"/>
    <w:rsid w:val="003464EF"/>
    <w:rsid w:val="00374145"/>
    <w:rsid w:val="003864DC"/>
    <w:rsid w:val="00391481"/>
    <w:rsid w:val="0039292B"/>
    <w:rsid w:val="00392C4D"/>
    <w:rsid w:val="00393119"/>
    <w:rsid w:val="003A15B0"/>
    <w:rsid w:val="003B287A"/>
    <w:rsid w:val="003E210E"/>
    <w:rsid w:val="00412B8E"/>
    <w:rsid w:val="00430D0E"/>
    <w:rsid w:val="00441864"/>
    <w:rsid w:val="00451F33"/>
    <w:rsid w:val="00473CA3"/>
    <w:rsid w:val="004800F4"/>
    <w:rsid w:val="004928F8"/>
    <w:rsid w:val="004C01EB"/>
    <w:rsid w:val="004C77D3"/>
    <w:rsid w:val="004F2ADF"/>
    <w:rsid w:val="00503CF1"/>
    <w:rsid w:val="00520C87"/>
    <w:rsid w:val="00554478"/>
    <w:rsid w:val="005C2C08"/>
    <w:rsid w:val="005E3435"/>
    <w:rsid w:val="005F496E"/>
    <w:rsid w:val="005F551D"/>
    <w:rsid w:val="005F5E14"/>
    <w:rsid w:val="006225AA"/>
    <w:rsid w:val="00631F3A"/>
    <w:rsid w:val="00636712"/>
    <w:rsid w:val="006550ED"/>
    <w:rsid w:val="0066429F"/>
    <w:rsid w:val="00673CB4"/>
    <w:rsid w:val="0067651F"/>
    <w:rsid w:val="00680BA1"/>
    <w:rsid w:val="00693CDA"/>
    <w:rsid w:val="006E6576"/>
    <w:rsid w:val="006F0331"/>
    <w:rsid w:val="006F167C"/>
    <w:rsid w:val="006F4513"/>
    <w:rsid w:val="007110DF"/>
    <w:rsid w:val="00742226"/>
    <w:rsid w:val="00747BBF"/>
    <w:rsid w:val="00754E3E"/>
    <w:rsid w:val="0077713C"/>
    <w:rsid w:val="00777B03"/>
    <w:rsid w:val="007954B5"/>
    <w:rsid w:val="007A4C2F"/>
    <w:rsid w:val="007D4FE8"/>
    <w:rsid w:val="007E0BCB"/>
    <w:rsid w:val="007F2A85"/>
    <w:rsid w:val="007F5EA3"/>
    <w:rsid w:val="00805151"/>
    <w:rsid w:val="00805672"/>
    <w:rsid w:val="00815141"/>
    <w:rsid w:val="0086421F"/>
    <w:rsid w:val="00867AC1"/>
    <w:rsid w:val="00870F31"/>
    <w:rsid w:val="00875A9F"/>
    <w:rsid w:val="008774D4"/>
    <w:rsid w:val="008A02DC"/>
    <w:rsid w:val="008B303C"/>
    <w:rsid w:val="008B6D78"/>
    <w:rsid w:val="00906D51"/>
    <w:rsid w:val="009374A2"/>
    <w:rsid w:val="00940D15"/>
    <w:rsid w:val="00957A7C"/>
    <w:rsid w:val="0097065A"/>
    <w:rsid w:val="00972697"/>
    <w:rsid w:val="009816D1"/>
    <w:rsid w:val="0098224B"/>
    <w:rsid w:val="00982F2F"/>
    <w:rsid w:val="009B17E7"/>
    <w:rsid w:val="009B2325"/>
    <w:rsid w:val="00A053F4"/>
    <w:rsid w:val="00A51E79"/>
    <w:rsid w:val="00A538D8"/>
    <w:rsid w:val="00A7229E"/>
    <w:rsid w:val="00AC0B43"/>
    <w:rsid w:val="00AF746B"/>
    <w:rsid w:val="00B3217C"/>
    <w:rsid w:val="00B47EF9"/>
    <w:rsid w:val="00B544DF"/>
    <w:rsid w:val="00B7317B"/>
    <w:rsid w:val="00B76785"/>
    <w:rsid w:val="00B82D04"/>
    <w:rsid w:val="00BC415B"/>
    <w:rsid w:val="00BE491C"/>
    <w:rsid w:val="00BF174D"/>
    <w:rsid w:val="00C02253"/>
    <w:rsid w:val="00C12F36"/>
    <w:rsid w:val="00C24697"/>
    <w:rsid w:val="00C339E1"/>
    <w:rsid w:val="00C36D68"/>
    <w:rsid w:val="00C61C54"/>
    <w:rsid w:val="00C764BA"/>
    <w:rsid w:val="00CA4438"/>
    <w:rsid w:val="00CA4AA7"/>
    <w:rsid w:val="00CB30FB"/>
    <w:rsid w:val="00CC7C43"/>
    <w:rsid w:val="00CE4FD0"/>
    <w:rsid w:val="00CF3DAB"/>
    <w:rsid w:val="00D1371D"/>
    <w:rsid w:val="00D30B66"/>
    <w:rsid w:val="00D6300F"/>
    <w:rsid w:val="00D960C2"/>
    <w:rsid w:val="00DA6481"/>
    <w:rsid w:val="00DB33A9"/>
    <w:rsid w:val="00DB7210"/>
    <w:rsid w:val="00DC1A24"/>
    <w:rsid w:val="00DD1553"/>
    <w:rsid w:val="00E03F14"/>
    <w:rsid w:val="00E141FA"/>
    <w:rsid w:val="00E31F8D"/>
    <w:rsid w:val="00E57264"/>
    <w:rsid w:val="00E61FFE"/>
    <w:rsid w:val="00E805AF"/>
    <w:rsid w:val="00E80806"/>
    <w:rsid w:val="00EA57FC"/>
    <w:rsid w:val="00F0097E"/>
    <w:rsid w:val="00F05ED3"/>
    <w:rsid w:val="00F13775"/>
    <w:rsid w:val="00F24C22"/>
    <w:rsid w:val="00F44BD5"/>
    <w:rsid w:val="00F55714"/>
    <w:rsid w:val="00F6606D"/>
    <w:rsid w:val="00F842C1"/>
    <w:rsid w:val="00F96D0D"/>
    <w:rsid w:val="00FB68C7"/>
    <w:rsid w:val="00FE1774"/>
    <w:rsid w:val="00FE3153"/>
    <w:rsid w:val="00FE391C"/>
    <w:rsid w:val="04E869FE"/>
    <w:rsid w:val="07CE4D01"/>
    <w:rsid w:val="35081112"/>
    <w:rsid w:val="3A925778"/>
    <w:rsid w:val="506619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2"/>
    <w:semiHidden/>
    <w:unhideWhenUsed/>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semiHidden/>
    <w:uiPriority w:val="99"/>
    <w:rPr>
      <w:sz w:val="18"/>
      <w:szCs w:val="18"/>
    </w:rPr>
  </w:style>
  <w:style w:type="character" w:customStyle="1" w:styleId="11">
    <w:name w:val="页脚 Char"/>
    <w:basedOn w:val="8"/>
    <w:link w:val="4"/>
    <w:semiHidden/>
    <w:uiPriority w:val="99"/>
    <w:rPr>
      <w:sz w:val="18"/>
      <w:szCs w:val="18"/>
    </w:rPr>
  </w:style>
  <w:style w:type="character" w:customStyle="1" w:styleId="12">
    <w:name w:val="批注框文本 Char"/>
    <w:basedOn w:val="8"/>
    <w:link w:val="3"/>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393</Words>
  <Characters>2244</Characters>
  <Lines>18</Lines>
  <Paragraphs>5</Paragraphs>
  <TotalTime>17</TotalTime>
  <ScaleCrop>false</ScaleCrop>
  <LinksUpToDate>false</LinksUpToDate>
  <CharactersWithSpaces>2632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2024-01-08T04:48:00Z</dcterms:created>
  <dc:creator>Administrator</dc:creator>
  <cp:lastModifiedBy>Administrator</cp:lastModifiedBy>
  <dcterms:modified xsi:type="dcterms:W3CDTF">2026-01-12T02:42:59Z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62498387E9374935853575431B158277</vt:lpwstr>
  </property>
</Properties>
</file>