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BD" w:rsidRDefault="00FB30BD" w:rsidP="00FB30BD">
      <w:pPr>
        <w:widowControl/>
        <w:jc w:val="left"/>
        <w:rPr>
          <w:sz w:val="28"/>
          <w:szCs w:val="28"/>
        </w:rPr>
      </w:pPr>
    </w:p>
    <w:p w:rsidR="00FB30BD" w:rsidRDefault="00FB30BD" w:rsidP="00FB30BD">
      <w:pPr>
        <w:ind w:left="602"/>
        <w:jc w:val="center"/>
        <w:rPr>
          <w:rFonts w:ascii="华文中宋" w:eastAsia="华文中宋" w:hAnsi="华文中宋"/>
          <w:b/>
          <w:bCs/>
          <w:sz w:val="36"/>
          <w:szCs w:val="36"/>
        </w:rPr>
      </w:pPr>
    </w:p>
    <w:p w:rsidR="00FB30BD" w:rsidRPr="00F15206" w:rsidRDefault="00FB30BD" w:rsidP="00FB30BD">
      <w:pPr>
        <w:ind w:left="602"/>
        <w:jc w:val="center"/>
        <w:rPr>
          <w:rFonts w:ascii="华文中宋" w:eastAsia="华文中宋" w:hAnsi="华文中宋"/>
          <w:b/>
          <w:bCs/>
          <w:sz w:val="36"/>
          <w:szCs w:val="36"/>
        </w:rPr>
      </w:pPr>
      <w:r>
        <w:rPr>
          <w:rFonts w:ascii="华文中宋" w:eastAsia="华文中宋" w:hAnsi="华文中宋" w:hint="eastAsia"/>
          <w:b/>
          <w:bCs/>
          <w:sz w:val="36"/>
          <w:szCs w:val="36"/>
        </w:rPr>
        <w:t>证券投资基金投资人权益须</w:t>
      </w:r>
      <w:r w:rsidRPr="00F15206">
        <w:rPr>
          <w:rFonts w:ascii="华文中宋" w:eastAsia="华文中宋" w:hAnsi="华文中宋" w:hint="eastAsia"/>
          <w:b/>
          <w:bCs/>
          <w:sz w:val="36"/>
          <w:szCs w:val="36"/>
        </w:rPr>
        <w:t>知</w:t>
      </w:r>
    </w:p>
    <w:p w:rsidR="00FB30BD" w:rsidRDefault="00FB30BD" w:rsidP="00FB30BD">
      <w:pPr>
        <w:rPr>
          <w:rFonts w:eastAsia="黑体"/>
          <w:b/>
          <w:bCs/>
          <w:sz w:val="30"/>
        </w:rPr>
      </w:pPr>
    </w:p>
    <w:p w:rsidR="00FB30BD" w:rsidRPr="004249B2" w:rsidRDefault="00FB30BD" w:rsidP="00FB30BD">
      <w:pPr>
        <w:rPr>
          <w:rFonts w:ascii="仿宋_GB2312" w:eastAsia="仿宋_GB2312"/>
          <w:bCs/>
          <w:sz w:val="30"/>
          <w:szCs w:val="30"/>
        </w:rPr>
      </w:pPr>
      <w:r w:rsidRPr="004249B2">
        <w:rPr>
          <w:rFonts w:ascii="仿宋_GB2312" w:eastAsia="仿宋_GB2312" w:hint="eastAsia"/>
          <w:bCs/>
          <w:sz w:val="30"/>
          <w:szCs w:val="30"/>
        </w:rPr>
        <w:t>尊敬的基金投资人：</w:t>
      </w:r>
    </w:p>
    <w:p w:rsidR="00FB30BD" w:rsidRPr="004249B2" w:rsidRDefault="00FB30BD" w:rsidP="00FB30BD">
      <w:pPr>
        <w:ind w:firstLineChars="200" w:firstLine="600"/>
        <w:rPr>
          <w:rFonts w:ascii="仿宋_GB2312" w:eastAsia="仿宋_GB2312"/>
          <w:bCs/>
          <w:sz w:val="30"/>
          <w:szCs w:val="30"/>
        </w:rPr>
      </w:pPr>
      <w:r w:rsidRPr="004249B2">
        <w:rPr>
          <w:rFonts w:ascii="仿宋_GB2312" w:eastAsia="仿宋_GB2312" w:hint="eastAsia"/>
          <w:bCs/>
          <w:sz w:val="30"/>
          <w:szCs w:val="30"/>
        </w:rPr>
        <w:t>基金投资在获取收益的同时存在投资风险。为了保护您的合法权益，请在投资基金前认真阅读以下内容：</w:t>
      </w:r>
    </w:p>
    <w:p w:rsidR="00FB30BD" w:rsidRPr="004249B2" w:rsidRDefault="00FB30BD" w:rsidP="00FB30BD">
      <w:pPr>
        <w:ind w:firstLineChars="200" w:firstLine="602"/>
        <w:rPr>
          <w:rFonts w:ascii="仿宋_GB2312" w:eastAsia="仿宋_GB2312"/>
          <w:b/>
          <w:bCs/>
          <w:sz w:val="30"/>
          <w:szCs w:val="30"/>
        </w:rPr>
      </w:pPr>
    </w:p>
    <w:p w:rsidR="00FB30BD" w:rsidRPr="004249B2" w:rsidRDefault="00FB30BD" w:rsidP="00FB30BD">
      <w:pPr>
        <w:ind w:left="602"/>
        <w:rPr>
          <w:rFonts w:ascii="仿宋_GB2312" w:eastAsia="仿宋_GB2312"/>
          <w:b/>
          <w:bCs/>
          <w:sz w:val="30"/>
          <w:szCs w:val="30"/>
        </w:rPr>
      </w:pPr>
      <w:r w:rsidRPr="004249B2">
        <w:rPr>
          <w:rFonts w:ascii="仿宋_GB2312" w:eastAsia="仿宋_GB2312" w:hint="eastAsia"/>
          <w:b/>
          <w:bCs/>
          <w:sz w:val="30"/>
          <w:szCs w:val="30"/>
        </w:rPr>
        <w:t xml:space="preserve">一、基金的基本知识  </w:t>
      </w:r>
    </w:p>
    <w:p w:rsidR="00FB30BD" w:rsidRPr="004249B2" w:rsidRDefault="00FB30BD" w:rsidP="00FB30BD">
      <w:pPr>
        <w:ind w:firstLineChars="200" w:firstLine="602"/>
        <w:rPr>
          <w:rFonts w:ascii="仿宋_GB2312" w:eastAsia="仿宋_GB2312" w:hAnsi="ˎ̥" w:cs="宋体" w:hint="eastAsia"/>
          <w:b/>
          <w:kern w:val="0"/>
          <w:sz w:val="30"/>
          <w:szCs w:val="30"/>
        </w:rPr>
      </w:pPr>
      <w:r w:rsidRPr="004249B2">
        <w:rPr>
          <w:rFonts w:ascii="仿宋_GB2312" w:eastAsia="仿宋_GB2312" w:hAnsi="ˎ̥" w:cs="宋体" w:hint="eastAsia"/>
          <w:b/>
          <w:kern w:val="0"/>
          <w:sz w:val="30"/>
          <w:szCs w:val="30"/>
        </w:rPr>
        <w:t>（一）什么是基金</w:t>
      </w:r>
    </w:p>
    <w:p w:rsidR="00FB30BD" w:rsidRPr="004249B2" w:rsidRDefault="00FB30BD" w:rsidP="00FB30BD">
      <w:pPr>
        <w:ind w:firstLineChars="200" w:firstLine="600"/>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证券投资基金（简称基金）是指通过发售基金份额，将众多投资者的资金集中起来，形成独立财产，由基金托管人托管，基金管理人管理，以投资组合的方法进行证券投资的一种利益共享、风险共担的集合投资方式。</w:t>
      </w:r>
    </w:p>
    <w:p w:rsidR="00FB30BD" w:rsidRPr="004249B2" w:rsidRDefault="00FB30BD" w:rsidP="00FB30BD">
      <w:pPr>
        <w:ind w:leftChars="284" w:left="596"/>
        <w:rPr>
          <w:rFonts w:ascii="仿宋_GB2312" w:eastAsia="仿宋_GB2312" w:hAnsi="ˎ̥" w:cs="宋体" w:hint="eastAsia"/>
          <w:b/>
          <w:kern w:val="0"/>
          <w:sz w:val="30"/>
          <w:szCs w:val="30"/>
        </w:rPr>
      </w:pPr>
      <w:r w:rsidRPr="004249B2">
        <w:rPr>
          <w:rFonts w:ascii="仿宋_GB2312" w:eastAsia="仿宋_GB2312" w:hAnsi="ˎ̥" w:cs="宋体" w:hint="eastAsia"/>
          <w:b/>
          <w:kern w:val="0"/>
          <w:sz w:val="30"/>
          <w:szCs w:val="30"/>
        </w:rPr>
        <w:t>（二）基金与股票、债券、储蓄存款等其它金融工具的区别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7"/>
        <w:gridCol w:w="2308"/>
        <w:gridCol w:w="1574"/>
        <w:gridCol w:w="1679"/>
        <w:gridCol w:w="1804"/>
      </w:tblGrid>
      <w:tr w:rsidR="00FB30BD" w:rsidRPr="007404D8" w:rsidTr="00FB30BD">
        <w:trPr>
          <w:trHeight w:val="810"/>
        </w:trPr>
        <w:tc>
          <w:tcPr>
            <w:tcW w:w="1158" w:type="dxa"/>
            <w:shd w:val="clear" w:color="auto" w:fill="B3B3B3"/>
            <w:vAlign w:val="center"/>
          </w:tcPr>
          <w:p w:rsidR="00FB30BD" w:rsidRPr="007404D8" w:rsidRDefault="00FB30BD" w:rsidP="00FB30BD">
            <w:pPr>
              <w:pStyle w:val="a4"/>
              <w:spacing w:line="300" w:lineRule="atLeast"/>
              <w:jc w:val="center"/>
              <w:rPr>
                <w:rFonts w:ascii="仿宋_GB2312" w:eastAsia="仿宋_GB2312"/>
                <w:b/>
                <w:bCs/>
              </w:rPr>
            </w:pPr>
          </w:p>
        </w:tc>
        <w:tc>
          <w:tcPr>
            <w:tcW w:w="2310" w:type="dxa"/>
            <w:shd w:val="clear" w:color="auto" w:fill="B3B3B3"/>
            <w:vAlign w:val="center"/>
          </w:tcPr>
          <w:p w:rsidR="00FB30BD" w:rsidRPr="007404D8" w:rsidRDefault="00FB30BD" w:rsidP="00FB30BD">
            <w:pPr>
              <w:pStyle w:val="a4"/>
              <w:spacing w:line="300" w:lineRule="atLeast"/>
              <w:jc w:val="center"/>
              <w:rPr>
                <w:rFonts w:ascii="仿宋_GB2312" w:eastAsia="仿宋_GB2312"/>
                <w:b/>
                <w:bCs/>
              </w:rPr>
            </w:pPr>
            <w:r w:rsidRPr="007404D8">
              <w:rPr>
                <w:rFonts w:ascii="仿宋_GB2312" w:eastAsia="仿宋_GB2312" w:hint="eastAsia"/>
                <w:b/>
                <w:bCs/>
              </w:rPr>
              <w:t>基金</w:t>
            </w:r>
          </w:p>
        </w:tc>
        <w:tc>
          <w:tcPr>
            <w:tcW w:w="1575" w:type="dxa"/>
            <w:shd w:val="clear" w:color="auto" w:fill="B3B3B3"/>
            <w:vAlign w:val="center"/>
          </w:tcPr>
          <w:p w:rsidR="00FB30BD" w:rsidRPr="007404D8" w:rsidRDefault="00FB30BD" w:rsidP="00FB30BD">
            <w:pPr>
              <w:pStyle w:val="a4"/>
              <w:spacing w:line="300" w:lineRule="atLeast"/>
              <w:jc w:val="center"/>
              <w:rPr>
                <w:rFonts w:ascii="仿宋_GB2312" w:eastAsia="仿宋_GB2312"/>
                <w:b/>
                <w:bCs/>
              </w:rPr>
            </w:pPr>
            <w:r w:rsidRPr="007404D8">
              <w:rPr>
                <w:rFonts w:ascii="仿宋_GB2312" w:eastAsia="仿宋_GB2312" w:hint="eastAsia"/>
                <w:b/>
                <w:bCs/>
              </w:rPr>
              <w:t>股票</w:t>
            </w:r>
          </w:p>
        </w:tc>
        <w:tc>
          <w:tcPr>
            <w:tcW w:w="1680" w:type="dxa"/>
            <w:shd w:val="clear" w:color="auto" w:fill="B3B3B3"/>
            <w:vAlign w:val="center"/>
          </w:tcPr>
          <w:p w:rsidR="00FB30BD" w:rsidRPr="007404D8" w:rsidRDefault="00FB30BD" w:rsidP="00FB30BD">
            <w:pPr>
              <w:pStyle w:val="a4"/>
              <w:spacing w:line="300" w:lineRule="atLeast"/>
              <w:jc w:val="center"/>
              <w:rPr>
                <w:rFonts w:ascii="仿宋_GB2312" w:eastAsia="仿宋_GB2312"/>
                <w:b/>
                <w:bCs/>
              </w:rPr>
            </w:pPr>
            <w:r w:rsidRPr="007404D8">
              <w:rPr>
                <w:rFonts w:ascii="仿宋_GB2312" w:eastAsia="仿宋_GB2312" w:hint="eastAsia"/>
                <w:b/>
                <w:bCs/>
              </w:rPr>
              <w:t>债券</w:t>
            </w:r>
          </w:p>
        </w:tc>
        <w:tc>
          <w:tcPr>
            <w:tcW w:w="1805" w:type="dxa"/>
            <w:shd w:val="clear" w:color="auto" w:fill="B3B3B3"/>
            <w:vAlign w:val="center"/>
          </w:tcPr>
          <w:p w:rsidR="00FB30BD" w:rsidRPr="007404D8" w:rsidRDefault="00FB30BD" w:rsidP="00FB30BD">
            <w:pPr>
              <w:pStyle w:val="a4"/>
              <w:spacing w:line="300" w:lineRule="atLeast"/>
              <w:jc w:val="center"/>
              <w:rPr>
                <w:rFonts w:ascii="仿宋_GB2312" w:eastAsia="仿宋_GB2312"/>
                <w:b/>
                <w:bCs/>
              </w:rPr>
            </w:pPr>
            <w:r w:rsidRPr="007404D8">
              <w:rPr>
                <w:rFonts w:ascii="仿宋_GB2312" w:eastAsia="仿宋_GB2312" w:hint="eastAsia"/>
                <w:b/>
                <w:bCs/>
              </w:rPr>
              <w:t>银行储蓄存款</w:t>
            </w:r>
          </w:p>
        </w:tc>
      </w:tr>
      <w:tr w:rsidR="00FB30BD" w:rsidRPr="007404D8" w:rsidTr="00FB30BD">
        <w:trPr>
          <w:trHeight w:val="2239"/>
        </w:trPr>
        <w:tc>
          <w:tcPr>
            <w:tcW w:w="1158"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反映的经济关系不同</w:t>
            </w:r>
          </w:p>
        </w:tc>
        <w:tc>
          <w:tcPr>
            <w:tcW w:w="231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信托关系，是一种受益凭证，投资者购买基金份额后成为基金受益人，基金管理人只是替投资者管理资金，并不承担投资损失风险</w:t>
            </w:r>
          </w:p>
        </w:tc>
        <w:tc>
          <w:tcPr>
            <w:tcW w:w="157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所有权关系，是一种所有权凭证，投资者购买后成为公司股东</w:t>
            </w:r>
          </w:p>
        </w:tc>
        <w:tc>
          <w:tcPr>
            <w:tcW w:w="168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债权债务关系，是一种债权凭证，投资者购买后成为该公司债权人</w:t>
            </w:r>
          </w:p>
        </w:tc>
        <w:tc>
          <w:tcPr>
            <w:tcW w:w="180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表现为银行的负债，是一种信用凭证，银行对存款者负有法定的保本付息责任</w:t>
            </w:r>
          </w:p>
        </w:tc>
      </w:tr>
      <w:tr w:rsidR="00FB30BD" w:rsidRPr="007404D8" w:rsidTr="00FB30BD">
        <w:trPr>
          <w:trHeight w:val="827"/>
        </w:trPr>
        <w:tc>
          <w:tcPr>
            <w:tcW w:w="1158"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所筹资金的投向不同</w:t>
            </w:r>
          </w:p>
        </w:tc>
        <w:tc>
          <w:tcPr>
            <w:tcW w:w="231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间接投资工具，主要投向股票、债券等有价证券</w:t>
            </w:r>
          </w:p>
        </w:tc>
        <w:tc>
          <w:tcPr>
            <w:tcW w:w="157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直接投资工具，主要投向实业领域</w:t>
            </w:r>
          </w:p>
        </w:tc>
        <w:tc>
          <w:tcPr>
            <w:tcW w:w="168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直接投资工具，主要投向实业领域</w:t>
            </w:r>
          </w:p>
        </w:tc>
        <w:tc>
          <w:tcPr>
            <w:tcW w:w="180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间接投资工具，银行负责资金用途和投向</w:t>
            </w:r>
          </w:p>
        </w:tc>
      </w:tr>
      <w:tr w:rsidR="00FB30BD" w:rsidRPr="007404D8" w:rsidTr="00FB30BD">
        <w:trPr>
          <w:trHeight w:val="1698"/>
        </w:trPr>
        <w:tc>
          <w:tcPr>
            <w:tcW w:w="1158"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lastRenderedPageBreak/>
              <w:t>投资收益与风险大小不同</w:t>
            </w:r>
          </w:p>
        </w:tc>
        <w:tc>
          <w:tcPr>
            <w:tcW w:w="231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投资于众多有价证券，能有效分散风险，风险相对适中，收益相对稳健</w:t>
            </w:r>
          </w:p>
        </w:tc>
        <w:tc>
          <w:tcPr>
            <w:tcW w:w="157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价格波动性大，高风险、高收益</w:t>
            </w:r>
          </w:p>
        </w:tc>
        <w:tc>
          <w:tcPr>
            <w:tcW w:w="168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价格波动较股票小，低风险、低收益</w:t>
            </w:r>
          </w:p>
        </w:tc>
        <w:tc>
          <w:tcPr>
            <w:tcW w:w="180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银行存款利率相对固定，损失本金的可能性很小，投资比较安全</w:t>
            </w:r>
          </w:p>
        </w:tc>
      </w:tr>
      <w:tr w:rsidR="00FB30BD" w:rsidRPr="007404D8" w:rsidTr="00FB30BD">
        <w:trPr>
          <w:trHeight w:val="883"/>
        </w:trPr>
        <w:tc>
          <w:tcPr>
            <w:tcW w:w="1158"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收益来源</w:t>
            </w:r>
          </w:p>
        </w:tc>
        <w:tc>
          <w:tcPr>
            <w:tcW w:w="231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利息收入、股利收入、资本利得</w:t>
            </w:r>
          </w:p>
        </w:tc>
        <w:tc>
          <w:tcPr>
            <w:tcW w:w="157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股利收入、资本利得</w:t>
            </w:r>
          </w:p>
        </w:tc>
        <w:tc>
          <w:tcPr>
            <w:tcW w:w="168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利息收入、资本利得</w:t>
            </w:r>
          </w:p>
        </w:tc>
        <w:tc>
          <w:tcPr>
            <w:tcW w:w="180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利息收入</w:t>
            </w:r>
          </w:p>
        </w:tc>
      </w:tr>
      <w:tr w:rsidR="00FB30BD" w:rsidRPr="007404D8" w:rsidTr="00FB30BD">
        <w:trPr>
          <w:trHeight w:val="1078"/>
        </w:trPr>
        <w:tc>
          <w:tcPr>
            <w:tcW w:w="1158"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投资渠道</w:t>
            </w:r>
          </w:p>
        </w:tc>
        <w:tc>
          <w:tcPr>
            <w:tcW w:w="231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基金管理公司及银行、证券公司等代销机构</w:t>
            </w:r>
          </w:p>
        </w:tc>
        <w:tc>
          <w:tcPr>
            <w:tcW w:w="157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证券公司</w:t>
            </w:r>
          </w:p>
        </w:tc>
        <w:tc>
          <w:tcPr>
            <w:tcW w:w="1680"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债券发行机构、证券公司及银行等代销机构</w:t>
            </w:r>
          </w:p>
        </w:tc>
        <w:tc>
          <w:tcPr>
            <w:tcW w:w="1805" w:type="dxa"/>
            <w:vAlign w:val="center"/>
          </w:tcPr>
          <w:p w:rsidR="00FB30BD" w:rsidRPr="007404D8" w:rsidRDefault="00FB30BD" w:rsidP="00FB30BD">
            <w:pPr>
              <w:pStyle w:val="a4"/>
              <w:spacing w:line="300" w:lineRule="atLeast"/>
              <w:jc w:val="both"/>
              <w:rPr>
                <w:rFonts w:ascii="仿宋_GB2312" w:eastAsia="仿宋_GB2312"/>
                <w:bCs/>
              </w:rPr>
            </w:pPr>
            <w:r w:rsidRPr="007404D8">
              <w:rPr>
                <w:rFonts w:ascii="仿宋_GB2312" w:eastAsia="仿宋_GB2312" w:hint="eastAsia"/>
                <w:bCs/>
              </w:rPr>
              <w:t>银行、信用社、邮政储蓄银行</w:t>
            </w:r>
          </w:p>
        </w:tc>
      </w:tr>
    </w:tbl>
    <w:p w:rsidR="00FB30BD" w:rsidRPr="004249B2" w:rsidRDefault="00FB30BD" w:rsidP="00FB30BD">
      <w:pPr>
        <w:ind w:left="602"/>
        <w:rPr>
          <w:rFonts w:ascii="仿宋_GB2312" w:eastAsia="仿宋_GB2312" w:hAnsi="ˎ̥" w:cs="宋体" w:hint="eastAsia"/>
          <w:b/>
          <w:bCs/>
          <w:kern w:val="0"/>
          <w:sz w:val="30"/>
          <w:szCs w:val="30"/>
        </w:rPr>
      </w:pPr>
      <w:r w:rsidRPr="004249B2">
        <w:rPr>
          <w:rFonts w:ascii="仿宋_GB2312" w:eastAsia="仿宋_GB2312" w:hAnsi="ˎ̥" w:cs="宋体" w:hint="eastAsia"/>
          <w:b/>
          <w:bCs/>
          <w:kern w:val="0"/>
          <w:sz w:val="30"/>
          <w:szCs w:val="30"/>
        </w:rPr>
        <w:t>（三）基金的分类</w:t>
      </w:r>
    </w:p>
    <w:p w:rsidR="00FB30BD" w:rsidRPr="004249B2" w:rsidRDefault="00FB30BD" w:rsidP="00FB30BD">
      <w:pPr>
        <w:ind w:firstLineChars="200" w:firstLine="600"/>
        <w:rPr>
          <w:rFonts w:ascii="仿宋_GB2312" w:eastAsia="仿宋_GB2312" w:hAnsi="ˎ̥" w:cs="宋体" w:hint="eastAsia"/>
          <w:bCs/>
          <w:kern w:val="0"/>
          <w:sz w:val="30"/>
          <w:szCs w:val="30"/>
        </w:rPr>
      </w:pPr>
      <w:r w:rsidRPr="004249B2">
        <w:rPr>
          <w:rFonts w:ascii="仿宋_GB2312" w:eastAsia="仿宋_GB2312" w:hAnsi="ˎ̥" w:cs="宋体" w:hint="eastAsia"/>
          <w:bCs/>
          <w:kern w:val="0"/>
          <w:sz w:val="30"/>
          <w:szCs w:val="30"/>
        </w:rPr>
        <w:t>1、依据运作方式的不同，可分为封闭式基金与开放式基金。</w:t>
      </w:r>
    </w:p>
    <w:p w:rsidR="00FB30BD" w:rsidRPr="004249B2" w:rsidRDefault="00FB30BD" w:rsidP="00FB30BD">
      <w:pPr>
        <w:ind w:firstLineChars="200" w:firstLine="600"/>
        <w:rPr>
          <w:rFonts w:ascii="仿宋_GB2312" w:eastAsia="仿宋_GB2312" w:hAnsi="ˎ̥" w:cs="宋体" w:hint="eastAsia"/>
          <w:bCs/>
          <w:kern w:val="0"/>
          <w:sz w:val="30"/>
          <w:szCs w:val="30"/>
        </w:rPr>
      </w:pPr>
      <w:r w:rsidRPr="004249B2">
        <w:rPr>
          <w:rFonts w:ascii="仿宋_GB2312" w:eastAsia="仿宋_GB2312" w:hAnsi="ˎ̥" w:cs="宋体" w:hint="eastAsia"/>
          <w:bCs/>
          <w:kern w:val="0"/>
          <w:sz w:val="30"/>
          <w:szCs w:val="30"/>
        </w:rPr>
        <w:t>封闭式基金是指基金份额在基金合同期限内固定不变，基金份额可以在依法设立的证券交易所交易，但基金份额持有人不得申请赎回的一种基金运作方式。</w:t>
      </w:r>
    </w:p>
    <w:p w:rsidR="00FB30BD" w:rsidRPr="004249B2" w:rsidRDefault="00FB30BD" w:rsidP="00FB30BD">
      <w:pPr>
        <w:ind w:firstLineChars="200" w:firstLine="600"/>
        <w:rPr>
          <w:rFonts w:ascii="仿宋_GB2312" w:eastAsia="仿宋_GB2312" w:hAnsi="ˎ̥" w:cs="宋体" w:hint="eastAsia"/>
          <w:bCs/>
          <w:kern w:val="0"/>
          <w:sz w:val="30"/>
          <w:szCs w:val="30"/>
        </w:rPr>
      </w:pPr>
      <w:r w:rsidRPr="004249B2">
        <w:rPr>
          <w:rFonts w:ascii="仿宋_GB2312" w:eastAsia="仿宋_GB2312" w:hAnsi="ˎ̥" w:cs="宋体" w:hint="eastAsia"/>
          <w:bCs/>
          <w:kern w:val="0"/>
          <w:sz w:val="30"/>
          <w:szCs w:val="30"/>
        </w:rPr>
        <w:t>开放式基金是指基金份额不固定，基金份额可以在基金合同约定的时间和场所进行申购和赎回的一种基金运作方式。</w:t>
      </w:r>
    </w:p>
    <w:p w:rsidR="00FB30BD" w:rsidRPr="004249B2" w:rsidRDefault="00FB30BD" w:rsidP="00FB30BD">
      <w:pPr>
        <w:ind w:firstLineChars="200" w:firstLine="600"/>
        <w:rPr>
          <w:rFonts w:ascii="仿宋_GB2312" w:eastAsia="仿宋_GB2312" w:hAnsi="ˎ̥" w:cs="宋体" w:hint="eastAsia"/>
          <w:bCs/>
          <w:kern w:val="0"/>
          <w:sz w:val="30"/>
          <w:szCs w:val="30"/>
        </w:rPr>
      </w:pPr>
      <w:r w:rsidRPr="004249B2">
        <w:rPr>
          <w:rFonts w:ascii="仿宋_GB2312" w:eastAsia="仿宋_GB2312" w:hint="eastAsia"/>
          <w:sz w:val="30"/>
        </w:rPr>
        <w:t xml:space="preserve"> </w:t>
      </w:r>
      <w:r w:rsidRPr="004249B2">
        <w:rPr>
          <w:rFonts w:ascii="仿宋_GB2312" w:eastAsia="仿宋_GB2312" w:hAnsi="ˎ̥" w:cs="宋体" w:hint="eastAsia"/>
          <w:bCs/>
          <w:kern w:val="0"/>
          <w:sz w:val="30"/>
          <w:szCs w:val="30"/>
        </w:rPr>
        <w:t>2、依据投资对象的不同，可分为股票基金、债券基金、货币市场基金、混合基金</w:t>
      </w:r>
    </w:p>
    <w:p w:rsidR="00FB30BD" w:rsidRPr="004249B2" w:rsidRDefault="00FB30BD" w:rsidP="00FB30BD">
      <w:pPr>
        <w:ind w:firstLineChars="198" w:firstLine="594"/>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根据《证券投资基金运作管理办法》对基金类别的分类标准,</w:t>
      </w:r>
      <w:r w:rsidR="007871B3">
        <w:rPr>
          <w:rFonts w:ascii="仿宋_GB2312" w:eastAsia="仿宋_GB2312" w:hAnsi="ˎ̥" w:cs="宋体" w:hint="eastAsia"/>
          <w:kern w:val="0"/>
          <w:sz w:val="30"/>
          <w:szCs w:val="30"/>
        </w:rPr>
        <w:t>8</w:t>
      </w:r>
      <w:r w:rsidR="007871B3" w:rsidRPr="004249B2">
        <w:rPr>
          <w:rFonts w:ascii="仿宋_GB2312" w:eastAsia="仿宋_GB2312" w:hAnsi="ˎ̥" w:cs="宋体" w:hint="eastAsia"/>
          <w:kern w:val="0"/>
          <w:sz w:val="30"/>
          <w:szCs w:val="30"/>
        </w:rPr>
        <w:t>0</w:t>
      </w:r>
      <w:r w:rsidRPr="004249B2">
        <w:rPr>
          <w:rFonts w:ascii="仿宋_GB2312" w:eastAsia="仿宋_GB2312" w:hAnsi="ˎ̥" w:cs="宋体" w:hint="eastAsia"/>
          <w:kern w:val="0"/>
          <w:sz w:val="30"/>
          <w:szCs w:val="30"/>
        </w:rPr>
        <w:t>%以上的基金资产投资于股票的为股票基金；80%以上的基金资产投资于债券的为债券基金；仅投资于货币市场工具的为货币市场基金；投资于股票、债券和货币市场工具，但股票投资和债券投资的比例不符合股票基金、债券基金规定的为混合基金。</w:t>
      </w:r>
      <w:r>
        <w:rPr>
          <w:rFonts w:ascii="仿宋_GB2312" w:eastAsia="仿宋_GB2312" w:hAnsi="ˎ̥" w:cs="宋体" w:hint="eastAsia"/>
          <w:kern w:val="0"/>
          <w:sz w:val="30"/>
          <w:szCs w:val="30"/>
        </w:rPr>
        <w:t>这些基金类别按收益和风险由高到低的排列顺序为：股票基金、混合基金、债券基金、货币市场基金，即股票基金的风险和收益</w:t>
      </w:r>
      <w:r>
        <w:rPr>
          <w:rFonts w:ascii="仿宋_GB2312" w:eastAsia="仿宋_GB2312" w:hAnsi="ˎ̥" w:cs="宋体" w:hint="eastAsia"/>
          <w:kern w:val="0"/>
          <w:sz w:val="30"/>
          <w:szCs w:val="30"/>
        </w:rPr>
        <w:lastRenderedPageBreak/>
        <w:t>最高，货币市场基金的风险和收益最低。</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bCs/>
          <w:kern w:val="0"/>
          <w:sz w:val="30"/>
          <w:szCs w:val="30"/>
        </w:rPr>
        <w:t>3、</w:t>
      </w:r>
      <w:r w:rsidRPr="004249B2">
        <w:rPr>
          <w:rFonts w:ascii="仿宋_GB2312" w:eastAsia="仿宋_GB2312" w:hAnsi="ˎ̥" w:cs="宋体" w:hint="eastAsia"/>
          <w:kern w:val="0"/>
          <w:sz w:val="30"/>
          <w:szCs w:val="30"/>
        </w:rPr>
        <w:t>特殊类型基金</w:t>
      </w:r>
    </w:p>
    <w:p w:rsidR="00FB30BD" w:rsidRPr="004249B2" w:rsidRDefault="00FB30BD" w:rsidP="00FB30BD">
      <w:pPr>
        <w:ind w:firstLineChars="200" w:firstLine="600"/>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（1）系列基金。又被称为伞型基金，是指多个基金共用一个基金合同,子基金独立运作,子基金之间可以进行相互转换的一种基金结构形式。</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（2）保本基金。是指通过采用投资组合保险技术,保证投资者的投资目标是在锁定下跌风险的同时力争有机会获得潜在的高回报。</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（3）交易型开放式指数基金(ETF)与上市开放式基金(LOF)。</w:t>
      </w:r>
      <w:r w:rsidRPr="004249B2">
        <w:rPr>
          <w:rFonts w:ascii="仿宋_GB2312" w:eastAsia="仿宋_GB2312" w:hint="eastAsia"/>
          <w:sz w:val="30"/>
        </w:rPr>
        <w:t>交易型开放式指数基金</w:t>
      </w:r>
      <w:r w:rsidRPr="004249B2">
        <w:rPr>
          <w:rFonts w:ascii="仿宋_GB2312" w:eastAsia="仿宋_GB2312" w:hAnsi="ˎ̥" w:cs="宋体" w:hint="eastAsia"/>
          <w:kern w:val="0"/>
          <w:sz w:val="30"/>
          <w:szCs w:val="30"/>
        </w:rPr>
        <w:t>,通常又被称为交易所交易基金(Exchange Traded Funds,简称“ETF”),是一种在交易所上市交易的、基金份额可变的一种开放式基金。</w:t>
      </w:r>
      <w:r w:rsidRPr="004249B2">
        <w:rPr>
          <w:rFonts w:ascii="仿宋_GB2312" w:eastAsia="仿宋_GB2312" w:hint="eastAsia"/>
          <w:sz w:val="30"/>
        </w:rPr>
        <w:t>上市开放式基金</w:t>
      </w:r>
      <w:r w:rsidRPr="004249B2">
        <w:rPr>
          <w:rFonts w:ascii="仿宋_GB2312" w:eastAsia="仿宋_GB2312" w:hint="eastAsia"/>
          <w:b/>
          <w:sz w:val="30"/>
        </w:rPr>
        <w:t>(</w:t>
      </w:r>
      <w:r w:rsidRPr="004249B2">
        <w:rPr>
          <w:rFonts w:ascii="仿宋_GB2312" w:eastAsia="仿宋_GB2312" w:hAnsi="ˎ̥" w:cs="宋体" w:hint="eastAsia"/>
          <w:kern w:val="0"/>
          <w:sz w:val="30"/>
          <w:szCs w:val="30"/>
        </w:rPr>
        <w:t>Listed Open-ended Funds,简称“LOF”)是一种既可以在场外市场进行基金份额申购赎回，又可以在交易所（场内市场）进行基金份额交易、申购或赎回的开放式基金。</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4）QDII基金。是一种以境外证券市场为主要投资区域的证券投资基金，投资者可以用人民币或美元等外汇进行认购和申购，在承担境外市场相应投资风险的同时获取相应的投资收益。QDII基金与普通证券投资基金的最大区别在于投资范围不同。</w:t>
      </w:r>
    </w:p>
    <w:p w:rsidR="00FB30BD" w:rsidRPr="004249B2" w:rsidRDefault="00FB30BD" w:rsidP="00FB30BD">
      <w:pPr>
        <w:ind w:firstLine="602"/>
        <w:rPr>
          <w:rFonts w:ascii="仿宋_GB2312" w:eastAsia="仿宋_GB2312" w:hAnsi="ˎ̥" w:cs="宋体" w:hint="eastAsia"/>
          <w:b/>
          <w:kern w:val="0"/>
          <w:sz w:val="30"/>
          <w:szCs w:val="30"/>
        </w:rPr>
      </w:pPr>
      <w:r w:rsidRPr="004249B2">
        <w:rPr>
          <w:rFonts w:ascii="仿宋_GB2312" w:eastAsia="仿宋_GB2312" w:hAnsi="ˎ̥" w:cs="宋体" w:hint="eastAsia"/>
          <w:b/>
          <w:kern w:val="0"/>
          <w:sz w:val="30"/>
          <w:szCs w:val="30"/>
        </w:rPr>
        <w:t>（四）基金评级</w:t>
      </w:r>
    </w:p>
    <w:p w:rsidR="00FB30BD"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基金评级是依据一定标准对基金产品进行分析从而做出优劣评价。投资人在投资基金时，可以适当参考基金评级结果，但</w:t>
      </w:r>
      <w:r w:rsidRPr="004249B2">
        <w:rPr>
          <w:rFonts w:ascii="仿宋_GB2312" w:eastAsia="仿宋_GB2312" w:hAnsi="ˎ̥" w:cs="宋体" w:hint="eastAsia"/>
          <w:kern w:val="0"/>
          <w:sz w:val="30"/>
          <w:szCs w:val="30"/>
        </w:rPr>
        <w:lastRenderedPageBreak/>
        <w:t>切不可把基金评级作为选择基金的唯一依据。此外，基金评级是对基金管理人过往的业绩表现做出评价，并不代表基金未来长期业绩的表现。</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本</w:t>
      </w:r>
      <w:r w:rsidR="00E435FF">
        <w:rPr>
          <w:rFonts w:ascii="仿宋_GB2312" w:eastAsia="仿宋_GB2312" w:hAnsi="ˎ̥" w:cs="宋体" w:hint="eastAsia"/>
          <w:kern w:val="0"/>
          <w:sz w:val="30"/>
          <w:szCs w:val="30"/>
        </w:rPr>
        <w:t>行</w:t>
      </w:r>
      <w:r w:rsidRPr="004249B2">
        <w:rPr>
          <w:rFonts w:ascii="仿宋_GB2312" w:eastAsia="仿宋_GB2312" w:hAnsi="ˎ̥" w:cs="宋体" w:hint="eastAsia"/>
          <w:kern w:val="0"/>
          <w:sz w:val="30"/>
          <w:szCs w:val="30"/>
        </w:rPr>
        <w:t>将根据销售适用性原则，对基金管理人进行审慎调查，并对基金产品进行风险评价。</w:t>
      </w:r>
    </w:p>
    <w:p w:rsidR="00FB30BD" w:rsidRPr="004249B2" w:rsidRDefault="00FB30BD" w:rsidP="00FB30BD">
      <w:pPr>
        <w:ind w:firstLine="602"/>
        <w:outlineLvl w:val="0"/>
        <w:rPr>
          <w:rFonts w:ascii="仿宋_GB2312" w:eastAsia="仿宋_GB2312" w:hAnsi="ˎ̥" w:cs="宋体" w:hint="eastAsia"/>
          <w:b/>
          <w:kern w:val="0"/>
          <w:sz w:val="30"/>
          <w:szCs w:val="30"/>
        </w:rPr>
      </w:pPr>
      <w:r w:rsidRPr="004249B2">
        <w:rPr>
          <w:rFonts w:ascii="仿宋_GB2312" w:eastAsia="仿宋_GB2312" w:hAnsi="ˎ̥" w:cs="宋体" w:hint="eastAsia"/>
          <w:b/>
          <w:kern w:val="0"/>
          <w:sz w:val="30"/>
          <w:szCs w:val="30"/>
        </w:rPr>
        <w:t>（五）基金费用</w:t>
      </w:r>
    </w:p>
    <w:p w:rsidR="00FB30BD" w:rsidRPr="004249B2" w:rsidRDefault="00FB30BD" w:rsidP="00FB30BD">
      <w:pPr>
        <w:ind w:firstLine="602"/>
        <w:outlineLvl w:val="0"/>
        <w:rPr>
          <w:rFonts w:ascii="仿宋_GB2312" w:eastAsia="仿宋_GB2312" w:hAnsi="ˎ̥" w:cs="宋体" w:hint="eastAsia"/>
          <w:kern w:val="0"/>
          <w:sz w:val="30"/>
          <w:szCs w:val="30"/>
        </w:rPr>
      </w:pPr>
      <w:r>
        <w:rPr>
          <w:rFonts w:ascii="仿宋_GB2312" w:eastAsia="仿宋_GB2312" w:hAnsi="ˎ̥" w:cs="宋体" w:hint="eastAsia"/>
          <w:kern w:val="0"/>
          <w:sz w:val="30"/>
          <w:szCs w:val="30"/>
        </w:rPr>
        <w:t>基金费用一般包括两大类：一类是在基金销售过程中发生的由基金投资人自己承担的费用，主要包括认购费、申购费、赎回费和基金</w:t>
      </w:r>
      <w:r w:rsidRPr="004249B2">
        <w:rPr>
          <w:rFonts w:ascii="仿宋_GB2312" w:eastAsia="仿宋_GB2312" w:hAnsi="ˎ̥" w:cs="宋体" w:hint="eastAsia"/>
          <w:kern w:val="0"/>
          <w:sz w:val="30"/>
          <w:szCs w:val="30"/>
        </w:rPr>
        <w:t>转换费</w:t>
      </w:r>
      <w:r>
        <w:rPr>
          <w:rFonts w:ascii="仿宋_GB2312" w:eastAsia="仿宋_GB2312" w:hAnsi="ˎ̥" w:cs="宋体" w:hint="eastAsia"/>
          <w:kern w:val="0"/>
          <w:sz w:val="30"/>
          <w:szCs w:val="30"/>
        </w:rPr>
        <w:t>。这些费用一般直接在投资人认购、申购、赎回或转换时收取。其中申购费可在投资人购买基金时收取，即前端申购费；也可在投资人卖出基金时收取，即后端</w:t>
      </w:r>
      <w:r w:rsidRPr="004249B2">
        <w:rPr>
          <w:rFonts w:ascii="仿宋_GB2312" w:eastAsia="仿宋_GB2312" w:hAnsi="ˎ̥" w:cs="宋体" w:hint="eastAsia"/>
          <w:kern w:val="0"/>
          <w:sz w:val="30"/>
          <w:szCs w:val="30"/>
        </w:rPr>
        <w:t>申购费，其费率一般按持有期限递减</w:t>
      </w:r>
      <w:r>
        <w:rPr>
          <w:rFonts w:ascii="仿宋_GB2312" w:eastAsia="仿宋_GB2312" w:hAnsi="ˎ̥" w:cs="宋体" w:hint="eastAsia"/>
          <w:kern w:val="0"/>
          <w:sz w:val="30"/>
          <w:szCs w:val="30"/>
        </w:rPr>
        <w:t>。另一类是在基金管理过程中发生的费用，主要包括基金管理费、基金托管费、信息披露费等，这些费用由基金承担。对于不收取申购、赎回费的货币市场基金和部分债券基金，还可按不高于2.5‰的比例从基金资产中计提一定的销售服务费。</w:t>
      </w:r>
    </w:p>
    <w:p w:rsidR="00FB30BD" w:rsidRPr="004249B2" w:rsidRDefault="00FB30BD" w:rsidP="00FB30BD">
      <w:pPr>
        <w:ind w:firstLine="602"/>
        <w:rPr>
          <w:rFonts w:ascii="仿宋_GB2312" w:eastAsia="仿宋_GB2312" w:hAnsi="ˎ̥" w:cs="宋体" w:hint="eastAsia"/>
          <w:b/>
          <w:kern w:val="0"/>
          <w:sz w:val="30"/>
          <w:szCs w:val="30"/>
        </w:rPr>
      </w:pPr>
      <w:r w:rsidRPr="004249B2">
        <w:rPr>
          <w:rFonts w:ascii="仿宋_GB2312" w:eastAsia="仿宋_GB2312" w:hAnsi="ˎ̥" w:cs="宋体" w:hint="eastAsia"/>
          <w:b/>
          <w:kern w:val="0"/>
          <w:sz w:val="30"/>
          <w:szCs w:val="30"/>
        </w:rPr>
        <w:t>二、基金份额持有人的权利</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根据《证券投资基金法》第70条的规定，基金份额持有人享有下列权利：</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（一）分享基金财产收益；</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（二）参与分配清算后的剩余基金财产；</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（三）依法转让或申请赎回其持有的基金份额；</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lastRenderedPageBreak/>
        <w:t>（四）按照规定要求召开基金份额持有人大会；</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（五）对基金份额持有人大会审议事项行使表决权；</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（六）查阅或者复制公开披露的基金信息资料；</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（七）对基金管理人、基金托管人、基金份额发售机构损害其合法权益的行为依法提起诉讼；</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（八）基金合同约定的其它权利。</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b/>
          <w:kern w:val="0"/>
          <w:sz w:val="30"/>
          <w:szCs w:val="30"/>
        </w:rPr>
        <w:t>三、基金投资风险提示</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一）证券投资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二）基金在投资运作过程中可能面临各种风险，既包括市场风险，也包括基金自身的管理风险、技术风险和合规风险等。巨额赎回风险是开放式基金所特有的一种风险，即当单个交易日基金的净赎回申请超过基金总份额的百分之十时，投资人将可能无法及时赎回持有的全部基金份额。</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（三）</w:t>
      </w:r>
      <w:r>
        <w:rPr>
          <w:rFonts w:ascii="仿宋_GB2312" w:eastAsia="仿宋_GB2312" w:hAnsi="ˎ̥" w:cs="宋体" w:hint="eastAsia"/>
          <w:kern w:val="0"/>
          <w:sz w:val="30"/>
          <w:szCs w:val="30"/>
        </w:rPr>
        <w:t>基金</w:t>
      </w:r>
      <w:r w:rsidRPr="004249B2">
        <w:rPr>
          <w:rFonts w:ascii="仿宋_GB2312" w:eastAsia="仿宋_GB2312" w:hAnsi="ˎ̥" w:cs="宋体" w:hint="eastAsia"/>
          <w:kern w:val="0"/>
          <w:sz w:val="30"/>
          <w:szCs w:val="30"/>
        </w:rPr>
        <w:t>投资人应当充分了解基金定期定额投资和零存整取等储蓄方式的区别。定期定额投资是引导</w:t>
      </w:r>
      <w:r>
        <w:rPr>
          <w:rFonts w:ascii="仿宋_GB2312" w:eastAsia="仿宋_GB2312" w:hAnsi="ˎ̥" w:cs="宋体" w:hint="eastAsia"/>
          <w:kern w:val="0"/>
          <w:sz w:val="30"/>
          <w:szCs w:val="30"/>
        </w:rPr>
        <w:t>投资人进行长期投资、平均投资成本的一种简单易行的投资方式，</w:t>
      </w:r>
      <w:r w:rsidRPr="004249B2">
        <w:rPr>
          <w:rFonts w:ascii="仿宋_GB2312" w:eastAsia="仿宋_GB2312" w:hAnsi="ˎ̥" w:cs="宋体" w:hint="eastAsia"/>
          <w:kern w:val="0"/>
          <w:sz w:val="30"/>
          <w:szCs w:val="30"/>
        </w:rPr>
        <w:t>但并不能规避基金投资所固有的风险，不能保证投资人获得收益，也不是替代储蓄的等效理财方式。</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lastRenderedPageBreak/>
        <w:t>（四）</w:t>
      </w:r>
      <w:r>
        <w:rPr>
          <w:rFonts w:ascii="仿宋_GB2312" w:eastAsia="仿宋_GB2312" w:hAnsi="ˎ̥" w:cs="宋体" w:hint="eastAsia"/>
          <w:kern w:val="0"/>
          <w:sz w:val="30"/>
          <w:szCs w:val="30"/>
        </w:rPr>
        <w:t>基金管理人承诺以诚实守信</w:t>
      </w:r>
      <w:r w:rsidRPr="004249B2">
        <w:rPr>
          <w:rFonts w:ascii="仿宋_GB2312" w:eastAsia="仿宋_GB2312" w:hAnsi="ˎ̥" w:cs="宋体" w:hint="eastAsia"/>
          <w:kern w:val="0"/>
          <w:sz w:val="30"/>
          <w:szCs w:val="30"/>
        </w:rPr>
        <w:t>、勤勉尽责的原则管理和运用基金资产，但不保证旗下基金一定盈利，也不保证最低收益。旗下基金的过往业绩及其净值高低并不预示其未来业绩表现。基金管理人提醒投资人基金投资的“买者自负”原则，在做出投资决策后，基金运营状况与基金净值变化引致的投资风险，由投资人自行负担。</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（五）本</w:t>
      </w:r>
      <w:r w:rsidR="00E435FF">
        <w:rPr>
          <w:rFonts w:ascii="仿宋_GB2312" w:eastAsia="仿宋_GB2312" w:hAnsi="ˎ̥" w:cs="宋体" w:hint="eastAsia"/>
          <w:kern w:val="0"/>
          <w:sz w:val="30"/>
          <w:szCs w:val="30"/>
        </w:rPr>
        <w:t>行</w:t>
      </w:r>
      <w:r w:rsidRPr="004249B2">
        <w:rPr>
          <w:rFonts w:ascii="仿宋_GB2312" w:eastAsia="仿宋_GB2312" w:hAnsi="ˎ̥" w:cs="宋体" w:hint="eastAsia"/>
          <w:kern w:val="0"/>
          <w:sz w:val="30"/>
          <w:szCs w:val="30"/>
        </w:rPr>
        <w:t>将对基金投资人的风险承受能力进行调查和评价，并根据基金投资人的风险承受能力推荐相应的基金品种，但</w:t>
      </w:r>
      <w:r w:rsidR="0080113F">
        <w:rPr>
          <w:rFonts w:ascii="仿宋_GB2312" w:eastAsia="仿宋_GB2312" w:hAnsi="ˎ̥" w:cs="宋体" w:hint="eastAsia"/>
          <w:kern w:val="0"/>
          <w:sz w:val="30"/>
          <w:szCs w:val="30"/>
        </w:rPr>
        <w:t>本行</w:t>
      </w:r>
      <w:r>
        <w:rPr>
          <w:rFonts w:ascii="仿宋_GB2312" w:eastAsia="仿宋_GB2312" w:hAnsi="ˎ̥" w:cs="宋体" w:hint="eastAsia"/>
          <w:kern w:val="0"/>
          <w:sz w:val="30"/>
          <w:szCs w:val="30"/>
        </w:rPr>
        <w:t>所做的推荐仅供投资人</w:t>
      </w:r>
      <w:r w:rsidRPr="004249B2">
        <w:rPr>
          <w:rFonts w:ascii="仿宋_GB2312" w:eastAsia="仿宋_GB2312" w:hAnsi="ˎ̥" w:cs="宋体" w:hint="eastAsia"/>
          <w:kern w:val="0"/>
          <w:sz w:val="30"/>
          <w:szCs w:val="30"/>
        </w:rPr>
        <w:t>参考，投资人应</w:t>
      </w:r>
      <w:r>
        <w:rPr>
          <w:rFonts w:ascii="仿宋_GB2312" w:eastAsia="仿宋_GB2312" w:hAnsi="ˎ̥" w:cs="宋体" w:hint="eastAsia"/>
          <w:kern w:val="0"/>
          <w:sz w:val="30"/>
          <w:szCs w:val="30"/>
        </w:rPr>
        <w:t>根据自身风险承受能力选择基金产品并</w:t>
      </w:r>
      <w:r w:rsidRPr="004249B2">
        <w:rPr>
          <w:rFonts w:ascii="仿宋_GB2312" w:eastAsia="仿宋_GB2312" w:hAnsi="ˎ̥" w:cs="宋体" w:hint="eastAsia"/>
          <w:kern w:val="0"/>
          <w:sz w:val="30"/>
          <w:szCs w:val="30"/>
        </w:rPr>
        <w:t>自行承担投资基金的风险。</w:t>
      </w:r>
    </w:p>
    <w:p w:rsidR="00FB30BD" w:rsidRPr="004249B2" w:rsidRDefault="00FB30BD" w:rsidP="00FB30BD">
      <w:pPr>
        <w:ind w:firstLine="602"/>
        <w:rPr>
          <w:rFonts w:ascii="仿宋_GB2312" w:eastAsia="仿宋_GB2312" w:hAnsi="ˎ̥" w:cs="宋体" w:hint="eastAsia"/>
          <w:b/>
          <w:kern w:val="0"/>
          <w:sz w:val="30"/>
          <w:szCs w:val="30"/>
        </w:rPr>
      </w:pPr>
      <w:r w:rsidRPr="004249B2">
        <w:rPr>
          <w:rFonts w:ascii="仿宋_GB2312" w:eastAsia="仿宋_GB2312" w:hAnsi="ˎ̥" w:cs="宋体" w:hint="eastAsia"/>
          <w:b/>
          <w:kern w:val="0"/>
          <w:sz w:val="30"/>
          <w:szCs w:val="30"/>
        </w:rPr>
        <w:t>四、服务内容</w:t>
      </w:r>
      <w:r>
        <w:rPr>
          <w:rFonts w:ascii="仿宋_GB2312" w:eastAsia="仿宋_GB2312" w:hAnsi="ˎ̥" w:cs="宋体" w:hint="eastAsia"/>
          <w:b/>
          <w:kern w:val="0"/>
          <w:sz w:val="30"/>
          <w:szCs w:val="30"/>
        </w:rPr>
        <w:t>和收费</w:t>
      </w:r>
    </w:p>
    <w:p w:rsidR="00FB30BD" w:rsidRPr="004249B2" w:rsidRDefault="0080113F" w:rsidP="00FB30BD">
      <w:pPr>
        <w:ind w:firstLine="602"/>
        <w:rPr>
          <w:rFonts w:ascii="仿宋_GB2312" w:eastAsia="仿宋_GB2312" w:hAnsi="ˎ̥" w:cs="宋体" w:hint="eastAsia"/>
          <w:kern w:val="0"/>
          <w:sz w:val="30"/>
          <w:szCs w:val="30"/>
        </w:rPr>
      </w:pPr>
      <w:r>
        <w:rPr>
          <w:rFonts w:ascii="仿宋_GB2312" w:eastAsia="仿宋_GB2312" w:hAnsi="ˎ̥" w:cs="宋体" w:hint="eastAsia"/>
          <w:kern w:val="0"/>
          <w:sz w:val="30"/>
          <w:szCs w:val="30"/>
        </w:rPr>
        <w:t>本行</w:t>
      </w:r>
      <w:r w:rsidR="00FB30BD" w:rsidRPr="004249B2">
        <w:rPr>
          <w:rFonts w:ascii="仿宋_GB2312" w:eastAsia="仿宋_GB2312" w:hAnsi="ˎ̥" w:cs="宋体" w:hint="eastAsia"/>
          <w:kern w:val="0"/>
          <w:sz w:val="30"/>
          <w:szCs w:val="30"/>
        </w:rPr>
        <w:t>向</w:t>
      </w:r>
      <w:r w:rsidR="00FB30BD">
        <w:rPr>
          <w:rFonts w:ascii="仿宋_GB2312" w:eastAsia="仿宋_GB2312" w:hAnsi="ˎ̥" w:cs="宋体" w:hint="eastAsia"/>
          <w:kern w:val="0"/>
          <w:sz w:val="30"/>
          <w:szCs w:val="30"/>
        </w:rPr>
        <w:t>基金</w:t>
      </w:r>
      <w:r w:rsidR="00FB30BD" w:rsidRPr="004249B2">
        <w:rPr>
          <w:rFonts w:ascii="仿宋_GB2312" w:eastAsia="仿宋_GB2312" w:hAnsi="ˎ̥" w:cs="宋体" w:hint="eastAsia"/>
          <w:kern w:val="0"/>
          <w:sz w:val="30"/>
          <w:szCs w:val="30"/>
        </w:rPr>
        <w:t>投资人提供以下服务：</w:t>
      </w:r>
    </w:p>
    <w:p w:rsidR="00FB30BD" w:rsidRPr="004249B2" w:rsidRDefault="00FB30BD" w:rsidP="00FB30BD">
      <w:pPr>
        <w:ind w:firstLine="602"/>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（一）对基金投资人的风险承受能力进行调查和评价。</w:t>
      </w:r>
    </w:p>
    <w:p w:rsidR="00FB30BD" w:rsidRPr="004249B2" w:rsidRDefault="00FB30BD" w:rsidP="00FB30BD">
      <w:pPr>
        <w:ind w:firstLineChars="200" w:firstLine="600"/>
        <w:rPr>
          <w:rFonts w:ascii="仿宋_GB2312" w:eastAsia="仿宋_GB2312" w:hAnsi="ˎ̥" w:cs="宋体" w:hint="eastAsia"/>
          <w:kern w:val="0"/>
          <w:sz w:val="30"/>
          <w:szCs w:val="30"/>
        </w:rPr>
      </w:pPr>
      <w:r w:rsidRPr="004249B2">
        <w:rPr>
          <w:rFonts w:ascii="仿宋_GB2312" w:eastAsia="仿宋_GB2312" w:hAnsi="ˎ̥" w:cs="宋体" w:hint="eastAsia"/>
          <w:kern w:val="0"/>
          <w:sz w:val="30"/>
          <w:szCs w:val="30"/>
        </w:rPr>
        <w:t>（二）基金销售业务，包括基金（资金）</w:t>
      </w:r>
      <w:r>
        <w:rPr>
          <w:rFonts w:ascii="仿宋_GB2312" w:eastAsia="仿宋_GB2312" w:hAnsi="ˎ̥" w:cs="宋体" w:hint="eastAsia"/>
          <w:kern w:val="0"/>
          <w:sz w:val="30"/>
          <w:szCs w:val="30"/>
        </w:rPr>
        <w:t>账户开户、基金申（认）购、基金赎回、基金转换（可选项）</w:t>
      </w:r>
      <w:r w:rsidRPr="004249B2">
        <w:rPr>
          <w:rFonts w:ascii="仿宋_GB2312" w:eastAsia="仿宋_GB2312" w:hAnsi="ˎ̥" w:cs="宋体" w:hint="eastAsia"/>
          <w:kern w:val="0"/>
          <w:sz w:val="30"/>
          <w:szCs w:val="30"/>
        </w:rPr>
        <w:t>、定额定投</w:t>
      </w:r>
      <w:r>
        <w:rPr>
          <w:rFonts w:ascii="仿宋_GB2312" w:eastAsia="仿宋_GB2312" w:hAnsi="ˎ̥" w:cs="宋体" w:hint="eastAsia"/>
          <w:kern w:val="0"/>
          <w:sz w:val="30"/>
          <w:szCs w:val="30"/>
        </w:rPr>
        <w:t>（可选项）、</w:t>
      </w:r>
      <w:r w:rsidRPr="004249B2">
        <w:rPr>
          <w:rFonts w:ascii="仿宋_GB2312" w:eastAsia="仿宋_GB2312" w:hAnsi="ˎ̥" w:cs="宋体" w:hint="eastAsia"/>
          <w:kern w:val="0"/>
          <w:sz w:val="30"/>
          <w:szCs w:val="30"/>
        </w:rPr>
        <w:t>修改基金分红方式等。</w:t>
      </w:r>
      <w:r w:rsidR="0080113F">
        <w:rPr>
          <w:rFonts w:ascii="仿宋_GB2312" w:eastAsia="仿宋_GB2312" w:hAnsi="ˎ̥" w:cs="宋体" w:hint="eastAsia"/>
          <w:kern w:val="0"/>
          <w:sz w:val="30"/>
          <w:szCs w:val="30"/>
        </w:rPr>
        <w:t>本行</w:t>
      </w:r>
      <w:r w:rsidRPr="004249B2">
        <w:rPr>
          <w:rFonts w:ascii="仿宋_GB2312" w:eastAsia="仿宋_GB2312" w:hAnsi="ˎ̥" w:cs="宋体" w:hint="eastAsia"/>
          <w:kern w:val="0"/>
          <w:sz w:val="30"/>
          <w:szCs w:val="30"/>
        </w:rPr>
        <w:t>根据每只基金的发行公告</w:t>
      </w:r>
      <w:r>
        <w:rPr>
          <w:rFonts w:ascii="仿宋_GB2312" w:eastAsia="仿宋_GB2312" w:hAnsi="ˎ̥" w:cs="宋体" w:hint="eastAsia"/>
          <w:kern w:val="0"/>
          <w:sz w:val="30"/>
          <w:szCs w:val="30"/>
        </w:rPr>
        <w:t>及基金管理公司发布的其它相关公告</w:t>
      </w:r>
      <w:r w:rsidRPr="004249B2">
        <w:rPr>
          <w:rFonts w:ascii="仿宋_GB2312" w:eastAsia="仿宋_GB2312" w:hAnsi="ˎ̥" w:cs="宋体" w:hint="eastAsia"/>
          <w:kern w:val="0"/>
          <w:sz w:val="30"/>
          <w:szCs w:val="30"/>
        </w:rPr>
        <w:t>收取相应的申（认）购、赎回费和转换费。</w:t>
      </w:r>
    </w:p>
    <w:p w:rsidR="00FB30BD" w:rsidRPr="004249B2" w:rsidRDefault="00FB30BD" w:rsidP="00FB30BD">
      <w:pPr>
        <w:ind w:firstLine="602"/>
        <w:rPr>
          <w:rFonts w:ascii="仿宋_GB2312" w:eastAsia="仿宋_GB2312" w:hAnsi="ˎ̥" w:cs="宋体" w:hint="eastAsia"/>
          <w:kern w:val="0"/>
          <w:sz w:val="30"/>
          <w:szCs w:val="30"/>
          <w:u w:val="single"/>
        </w:rPr>
      </w:pPr>
      <w:r w:rsidRPr="004249B2">
        <w:rPr>
          <w:rFonts w:ascii="仿宋_GB2312" w:eastAsia="仿宋_GB2312" w:hAnsi="ˎ̥" w:cs="宋体" w:hint="eastAsia"/>
          <w:kern w:val="0"/>
          <w:sz w:val="30"/>
          <w:szCs w:val="30"/>
        </w:rPr>
        <w:t>（三）基金网上交易服务。</w:t>
      </w:r>
    </w:p>
    <w:p w:rsidR="00FB30BD" w:rsidRDefault="00FB30BD" w:rsidP="00FB30BD">
      <w:pPr>
        <w:ind w:firstLine="602"/>
        <w:rPr>
          <w:rFonts w:ascii="仿宋_GB2312" w:eastAsia="仿宋_GB2312" w:hAnsi="ˎ̥" w:cs="宋体" w:hint="eastAsia"/>
          <w:kern w:val="0"/>
          <w:sz w:val="30"/>
          <w:szCs w:val="30"/>
        </w:rPr>
      </w:pPr>
      <w:r>
        <w:rPr>
          <w:rFonts w:ascii="仿宋_GB2312" w:eastAsia="仿宋_GB2312" w:hAnsi="ˎ̥" w:cs="宋体" w:hint="eastAsia"/>
          <w:kern w:val="0"/>
          <w:sz w:val="30"/>
          <w:szCs w:val="30"/>
        </w:rPr>
        <w:t>（</w:t>
      </w:r>
      <w:r w:rsidR="00E435FF">
        <w:rPr>
          <w:rFonts w:ascii="仿宋_GB2312" w:eastAsia="仿宋_GB2312" w:hAnsi="ˎ̥" w:cs="宋体" w:hint="eastAsia"/>
          <w:kern w:val="0"/>
          <w:sz w:val="30"/>
          <w:szCs w:val="30"/>
        </w:rPr>
        <w:t>四</w:t>
      </w:r>
      <w:r>
        <w:rPr>
          <w:rFonts w:ascii="仿宋_GB2312" w:eastAsia="仿宋_GB2312" w:hAnsi="ˎ̥" w:cs="宋体" w:hint="eastAsia"/>
          <w:kern w:val="0"/>
          <w:sz w:val="30"/>
          <w:szCs w:val="30"/>
        </w:rPr>
        <w:t>）</w:t>
      </w:r>
      <w:r w:rsidRPr="004249B2">
        <w:rPr>
          <w:rFonts w:ascii="仿宋_GB2312" w:eastAsia="仿宋_GB2312" w:hAnsi="ˎ̥" w:cs="宋体" w:hint="eastAsia"/>
          <w:kern w:val="0"/>
          <w:sz w:val="30"/>
          <w:szCs w:val="30"/>
        </w:rPr>
        <w:t>基金知识普及和风险教育。</w:t>
      </w:r>
    </w:p>
    <w:p w:rsidR="004602D1" w:rsidRDefault="004602D1" w:rsidP="00FB30BD">
      <w:pPr>
        <w:ind w:firstLine="602"/>
        <w:rPr>
          <w:rFonts w:ascii="仿宋_GB2312" w:eastAsia="仿宋_GB2312" w:hAnsi="ˎ̥" w:cs="宋体" w:hint="eastAsia"/>
          <w:kern w:val="0"/>
          <w:sz w:val="30"/>
          <w:szCs w:val="30"/>
        </w:rPr>
      </w:pPr>
      <w:r>
        <w:rPr>
          <w:rFonts w:ascii="仿宋_GB2312" w:eastAsia="仿宋_GB2312" w:hAnsi="ˎ̥" w:cs="宋体" w:hint="eastAsia"/>
          <w:kern w:val="0"/>
          <w:sz w:val="30"/>
          <w:szCs w:val="30"/>
        </w:rPr>
        <w:t>基金投资者在购买基金产品时，可能涉及的费用包括认（申）购费、赎回费、产品转换费等</w:t>
      </w:r>
      <w:r w:rsidR="0087676F">
        <w:rPr>
          <w:rFonts w:ascii="仿宋_GB2312" w:eastAsia="仿宋_GB2312" w:hAnsi="ˎ̥" w:cs="宋体" w:hint="eastAsia"/>
          <w:kern w:val="0"/>
          <w:sz w:val="30"/>
          <w:szCs w:val="30"/>
        </w:rPr>
        <w:t>。</w:t>
      </w:r>
    </w:p>
    <w:p w:rsidR="00FB30BD" w:rsidRPr="004249B2" w:rsidRDefault="00E435FF" w:rsidP="00FB30BD">
      <w:pPr>
        <w:ind w:firstLine="602"/>
        <w:rPr>
          <w:rFonts w:ascii="仿宋_GB2312" w:eastAsia="仿宋_GB2312" w:hAnsi="ˎ̥" w:cs="宋体" w:hint="eastAsia"/>
          <w:b/>
          <w:kern w:val="0"/>
          <w:sz w:val="30"/>
          <w:szCs w:val="30"/>
        </w:rPr>
      </w:pPr>
      <w:r>
        <w:rPr>
          <w:rFonts w:ascii="仿宋_GB2312" w:eastAsia="仿宋_GB2312" w:hAnsi="ˎ̥" w:cs="宋体" w:hint="eastAsia"/>
          <w:b/>
          <w:kern w:val="0"/>
          <w:sz w:val="30"/>
          <w:szCs w:val="30"/>
        </w:rPr>
        <w:lastRenderedPageBreak/>
        <w:t>五</w:t>
      </w:r>
      <w:r w:rsidR="00FB30BD" w:rsidRPr="004249B2">
        <w:rPr>
          <w:rFonts w:ascii="仿宋_GB2312" w:eastAsia="仿宋_GB2312" w:hAnsi="ˎ̥" w:cs="宋体" w:hint="eastAsia"/>
          <w:b/>
          <w:kern w:val="0"/>
          <w:sz w:val="30"/>
          <w:szCs w:val="30"/>
        </w:rPr>
        <w:t>、投诉处理和联系方式</w:t>
      </w:r>
    </w:p>
    <w:p w:rsidR="00FB30BD" w:rsidRPr="004249B2" w:rsidRDefault="00FB30BD" w:rsidP="00FB30BD">
      <w:pPr>
        <w:ind w:firstLine="602"/>
        <w:rPr>
          <w:rFonts w:ascii="仿宋_GB2312" w:eastAsia="仿宋_GB2312" w:hAnsi="ˎ̥" w:cs="宋体" w:hint="eastAsia"/>
          <w:kern w:val="0"/>
          <w:sz w:val="30"/>
          <w:szCs w:val="30"/>
        </w:rPr>
      </w:pPr>
      <w:r>
        <w:rPr>
          <w:rFonts w:ascii="仿宋_GB2312" w:eastAsia="仿宋_GB2312" w:hAnsi="ˎ̥" w:cs="宋体" w:hint="eastAsia"/>
          <w:kern w:val="0"/>
          <w:sz w:val="30"/>
          <w:szCs w:val="30"/>
        </w:rPr>
        <w:t>（一）基金</w:t>
      </w:r>
      <w:r w:rsidRPr="004249B2">
        <w:rPr>
          <w:rFonts w:ascii="仿宋_GB2312" w:eastAsia="仿宋_GB2312" w:hAnsi="ˎ̥" w:cs="宋体" w:hint="eastAsia"/>
          <w:kern w:val="0"/>
          <w:sz w:val="30"/>
          <w:szCs w:val="30"/>
        </w:rPr>
        <w:t>投资人可以通过拨打</w:t>
      </w:r>
      <w:r w:rsidR="0080113F">
        <w:rPr>
          <w:rFonts w:ascii="仿宋_GB2312" w:eastAsia="仿宋_GB2312" w:hAnsi="ˎ̥" w:cs="宋体" w:hint="eastAsia"/>
          <w:kern w:val="0"/>
          <w:sz w:val="30"/>
          <w:szCs w:val="30"/>
        </w:rPr>
        <w:t>本行</w:t>
      </w:r>
      <w:r w:rsidRPr="004249B2">
        <w:rPr>
          <w:rFonts w:ascii="仿宋_GB2312" w:eastAsia="仿宋_GB2312" w:hAnsi="ˎ̥" w:cs="宋体" w:hint="eastAsia"/>
          <w:kern w:val="0"/>
          <w:sz w:val="30"/>
          <w:szCs w:val="30"/>
        </w:rPr>
        <w:t>客户服务中心电话或以书信、传真、电子邮件等方式，对营业网点所提供的服务提出建议或投诉。对于工作日受理的投诉，原则上当日回复，不能当日回复的，在3个工作日内回复。对于非工作日受理的投诉，原则上在顺延的第一个工作日回复，不能及时回复的，在3个工作日内回复。</w:t>
      </w:r>
    </w:p>
    <w:p w:rsidR="00FB30BD" w:rsidRDefault="00FB30BD" w:rsidP="00FB30BD">
      <w:pPr>
        <w:ind w:firstLine="602"/>
        <w:rPr>
          <w:rFonts w:ascii="仿宋_GB2312" w:eastAsia="仿宋_GB2312" w:hAnsi="ˎ̥" w:cs="宋体" w:hint="eastAsia"/>
          <w:kern w:val="0"/>
          <w:sz w:val="30"/>
          <w:szCs w:val="30"/>
        </w:rPr>
      </w:pPr>
      <w:r>
        <w:rPr>
          <w:rFonts w:ascii="仿宋_GB2312" w:eastAsia="仿宋_GB2312" w:hAnsi="ˎ̥" w:cs="宋体" w:hint="eastAsia"/>
          <w:kern w:val="0"/>
          <w:sz w:val="30"/>
          <w:szCs w:val="30"/>
        </w:rPr>
        <w:t>（二）基金投资人也可通过</w:t>
      </w:r>
      <w:r w:rsidRPr="004249B2">
        <w:rPr>
          <w:rFonts w:ascii="仿宋_GB2312" w:eastAsia="仿宋_GB2312" w:hAnsi="ˎ̥" w:cs="宋体" w:hint="eastAsia"/>
          <w:kern w:val="0"/>
          <w:sz w:val="30"/>
          <w:szCs w:val="30"/>
        </w:rPr>
        <w:t>书信、传真、电子邮件等方式，</w:t>
      </w:r>
      <w:r>
        <w:rPr>
          <w:rFonts w:ascii="仿宋_GB2312" w:eastAsia="仿宋_GB2312" w:hAnsi="ˎ̥" w:cs="宋体" w:hint="eastAsia"/>
          <w:kern w:val="0"/>
          <w:sz w:val="30"/>
          <w:szCs w:val="30"/>
        </w:rPr>
        <w:t>向</w:t>
      </w:r>
      <w:r w:rsidRPr="004249B2">
        <w:rPr>
          <w:rFonts w:ascii="仿宋_GB2312" w:eastAsia="仿宋_GB2312" w:hAnsi="ˎ̥" w:cs="宋体" w:hint="eastAsia"/>
          <w:kern w:val="0"/>
          <w:sz w:val="30"/>
          <w:szCs w:val="30"/>
        </w:rPr>
        <w:t>中国</w:t>
      </w:r>
      <w:r>
        <w:rPr>
          <w:rFonts w:ascii="仿宋_GB2312" w:eastAsia="仿宋_GB2312" w:hAnsi="ˎ̥" w:cs="宋体" w:hint="eastAsia"/>
          <w:kern w:val="0"/>
          <w:sz w:val="30"/>
          <w:szCs w:val="30"/>
        </w:rPr>
        <w:t>证监会和中国</w:t>
      </w:r>
      <w:r w:rsidR="00805014">
        <w:rPr>
          <w:rFonts w:ascii="仿宋_GB2312" w:eastAsia="仿宋_GB2312" w:hAnsi="ˎ̥" w:cs="宋体" w:hint="eastAsia"/>
          <w:kern w:val="0"/>
          <w:sz w:val="30"/>
          <w:szCs w:val="30"/>
        </w:rPr>
        <w:t>基金业</w:t>
      </w:r>
      <w:r w:rsidRPr="004249B2">
        <w:rPr>
          <w:rFonts w:ascii="仿宋_GB2312" w:eastAsia="仿宋_GB2312" w:hAnsi="ˎ̥" w:cs="宋体" w:hint="eastAsia"/>
          <w:kern w:val="0"/>
          <w:sz w:val="30"/>
          <w:szCs w:val="30"/>
        </w:rPr>
        <w:t>协会投诉。</w:t>
      </w:r>
      <w:r>
        <w:rPr>
          <w:rFonts w:ascii="仿宋_GB2312" w:eastAsia="仿宋_GB2312" w:hAnsi="ˎ̥" w:cs="宋体" w:hint="eastAsia"/>
          <w:kern w:val="0"/>
          <w:sz w:val="30"/>
          <w:szCs w:val="30"/>
        </w:rPr>
        <w:t>联系方式如下：</w:t>
      </w:r>
    </w:p>
    <w:p w:rsidR="00FB30BD" w:rsidRPr="00C06F08" w:rsidRDefault="00FB30BD" w:rsidP="00FB30BD">
      <w:pPr>
        <w:ind w:firstLine="602"/>
        <w:rPr>
          <w:rFonts w:ascii="仿宋_GB2312" w:eastAsia="仿宋_GB2312" w:hAnsi="ˎ̥" w:cs="宋体" w:hint="eastAsia"/>
          <w:kern w:val="0"/>
          <w:sz w:val="30"/>
          <w:szCs w:val="30"/>
        </w:rPr>
      </w:pPr>
      <w:r w:rsidRPr="00EA37CF">
        <w:rPr>
          <w:rFonts w:ascii="仿宋_GB2312" w:eastAsia="仿宋_GB2312" w:hAnsi="ˎ̥" w:cs="宋体" w:hint="eastAsia"/>
          <w:kern w:val="0"/>
          <w:sz w:val="30"/>
          <w:szCs w:val="30"/>
        </w:rPr>
        <w:t>中国证监会</w:t>
      </w:r>
      <w:r w:rsidR="00EA37CF" w:rsidRPr="00EA37CF">
        <w:rPr>
          <w:rFonts w:ascii="仿宋_GB2312" w:eastAsia="仿宋_GB2312" w:hAnsi="ˎ̥" w:cs="宋体" w:hint="eastAsia"/>
          <w:kern w:val="0"/>
          <w:sz w:val="30"/>
          <w:szCs w:val="30"/>
        </w:rPr>
        <w:t>山东</w:t>
      </w:r>
      <w:r w:rsidRPr="00EA37CF">
        <w:rPr>
          <w:rFonts w:ascii="仿宋_GB2312" w:eastAsia="仿宋_GB2312" w:hAnsi="ˎ̥" w:cs="宋体" w:hint="eastAsia"/>
          <w:kern w:val="0"/>
          <w:sz w:val="30"/>
          <w:szCs w:val="30"/>
        </w:rPr>
        <w:t>监管局：网址：</w:t>
      </w:r>
      <w:hyperlink r:id="rId6" w:history="1">
        <w:r w:rsidRPr="00EA37CF">
          <w:rPr>
            <w:rStyle w:val="a3"/>
            <w:rFonts w:ascii="仿宋_GB2312" w:eastAsia="仿宋_GB2312" w:hAnsi="Arial" w:cs="Arial" w:hint="default"/>
            <w:sz w:val="30"/>
            <w:szCs w:val="30"/>
          </w:rPr>
          <w:t>www.csrc.gov.cn</w:t>
        </w:r>
      </w:hyperlink>
      <w:r w:rsidRPr="00EA37CF">
        <w:rPr>
          <w:rFonts w:ascii="仿宋_GB2312" w:eastAsia="仿宋_GB2312" w:hAnsi="Arial" w:cs="Arial" w:hint="eastAsia"/>
          <w:sz w:val="30"/>
          <w:szCs w:val="30"/>
        </w:rPr>
        <w:t>，</w:t>
      </w:r>
      <w:r w:rsidRPr="00EA37CF">
        <w:rPr>
          <w:rFonts w:ascii="仿宋_GB2312" w:eastAsia="仿宋_GB2312" w:hAnsi="ˎ̥" w:cs="宋体" w:hint="eastAsia"/>
          <w:kern w:val="0"/>
          <w:sz w:val="30"/>
          <w:szCs w:val="30"/>
        </w:rPr>
        <w:t>联系电话：</w:t>
      </w:r>
      <w:r w:rsidR="00EA37CF">
        <w:rPr>
          <w:rFonts w:ascii="仿宋_GB2312" w:eastAsia="仿宋_GB2312" w:hAnsi="ˎ̥" w:cs="宋体" w:hint="eastAsia"/>
          <w:kern w:val="0"/>
          <w:sz w:val="30"/>
          <w:szCs w:val="30"/>
        </w:rPr>
        <w:t>0531-86106967</w:t>
      </w:r>
      <w:r w:rsidRPr="00EA37CF">
        <w:rPr>
          <w:rFonts w:ascii="仿宋_GB2312" w:eastAsia="仿宋_GB2312" w:hAnsi="ˎ̥" w:cs="宋体" w:hint="eastAsia"/>
          <w:kern w:val="0"/>
          <w:sz w:val="30"/>
          <w:szCs w:val="30"/>
        </w:rPr>
        <w:t xml:space="preserve"> ，地址：</w:t>
      </w:r>
      <w:r w:rsidR="00EA37CF">
        <w:rPr>
          <w:rFonts w:ascii="仿宋_GB2312" w:eastAsia="仿宋_GB2312" w:hAnsi="ˎ̥" w:cs="宋体" w:hint="eastAsia"/>
          <w:kern w:val="0"/>
          <w:sz w:val="30"/>
          <w:szCs w:val="30"/>
        </w:rPr>
        <w:t>山东省济南市市中区经七路86号证券大厦</w:t>
      </w:r>
      <w:r w:rsidRPr="00EA37CF">
        <w:rPr>
          <w:rFonts w:ascii="仿宋_GB2312" w:eastAsia="仿宋_GB2312" w:hAnsi="ˎ̥" w:cs="宋体" w:hint="eastAsia"/>
          <w:kern w:val="0"/>
          <w:sz w:val="30"/>
          <w:szCs w:val="30"/>
        </w:rPr>
        <w:t>，邮编：</w:t>
      </w:r>
      <w:r w:rsidR="00EA37CF">
        <w:rPr>
          <w:rFonts w:ascii="仿宋_GB2312" w:eastAsia="仿宋_GB2312" w:hAnsi="ˎ̥" w:cs="宋体" w:hint="eastAsia"/>
          <w:kern w:val="0"/>
          <w:sz w:val="30"/>
          <w:szCs w:val="30"/>
        </w:rPr>
        <w:t>250001</w:t>
      </w:r>
      <w:r>
        <w:rPr>
          <w:rFonts w:ascii="仿宋_GB2312" w:eastAsia="仿宋_GB2312" w:hAnsi="ˎ̥" w:cs="宋体" w:hint="eastAsia"/>
          <w:kern w:val="0"/>
          <w:sz w:val="30"/>
          <w:szCs w:val="30"/>
        </w:rPr>
        <w:t>。</w:t>
      </w:r>
    </w:p>
    <w:p w:rsidR="00805014" w:rsidRPr="00805014" w:rsidRDefault="00FB30BD" w:rsidP="00805014">
      <w:pPr>
        <w:ind w:leftChars="71" w:left="149" w:firstLineChars="150" w:firstLine="450"/>
        <w:rPr>
          <w:rFonts w:ascii="仿宋_GB2312" w:eastAsia="仿宋_GB2312" w:hAnsi="ˎ̥" w:cs="宋体" w:hint="eastAsia"/>
          <w:kern w:val="0"/>
          <w:sz w:val="30"/>
          <w:szCs w:val="30"/>
        </w:rPr>
      </w:pPr>
      <w:r>
        <w:rPr>
          <w:rFonts w:ascii="仿宋_GB2312" w:eastAsia="仿宋_GB2312" w:hAnsi="ˎ̥" w:cs="宋体" w:hint="eastAsia"/>
          <w:kern w:val="0"/>
          <w:sz w:val="30"/>
          <w:szCs w:val="30"/>
        </w:rPr>
        <w:t>中国</w:t>
      </w:r>
      <w:r w:rsidR="00805014">
        <w:rPr>
          <w:rFonts w:ascii="仿宋_GB2312" w:eastAsia="仿宋_GB2312" w:hAnsi="ˎ̥" w:cs="宋体" w:hint="eastAsia"/>
          <w:kern w:val="0"/>
          <w:sz w:val="30"/>
          <w:szCs w:val="30"/>
        </w:rPr>
        <w:t>基金</w:t>
      </w:r>
      <w:r>
        <w:rPr>
          <w:rFonts w:ascii="仿宋_GB2312" w:eastAsia="仿宋_GB2312" w:hAnsi="ˎ̥" w:cs="宋体" w:hint="eastAsia"/>
          <w:kern w:val="0"/>
          <w:sz w:val="30"/>
          <w:szCs w:val="30"/>
        </w:rPr>
        <w:t>业协会：</w:t>
      </w:r>
      <w:r w:rsidR="00805014">
        <w:rPr>
          <w:rFonts w:ascii="Arial" w:hAnsi="Arial" w:cs="Arial"/>
          <w:color w:val="000000"/>
          <w:szCs w:val="21"/>
          <w:shd w:val="clear" w:color="auto" w:fill="FFFFFF"/>
        </w:rPr>
        <w:t xml:space="preserve">　</w:t>
      </w:r>
      <w:r w:rsidR="00805014" w:rsidRPr="00805014">
        <w:rPr>
          <w:rFonts w:ascii="仿宋_GB2312" w:eastAsia="仿宋_GB2312" w:hAnsi="ˎ̥" w:cs="宋体"/>
          <w:kern w:val="0"/>
          <w:sz w:val="30"/>
          <w:szCs w:val="30"/>
        </w:rPr>
        <w:t>中国证券投资基金业协会：网址：www.amac.org.cn，电子邮箱tousu@amac.org.cn，地址：北京市西城区金融大街22号交通银行大厦B座9层，邮编：100033电话：010-58352888（中国证券投资者呼叫中心）、www.sipf.com(中国证券投资者保护网)。</w:t>
      </w:r>
    </w:p>
    <w:p w:rsidR="00FB30BD" w:rsidRDefault="00FB30BD" w:rsidP="00805014">
      <w:pPr>
        <w:ind w:leftChars="71" w:left="149" w:firstLineChars="150" w:firstLine="450"/>
        <w:rPr>
          <w:rFonts w:ascii="仿宋_GB2312" w:eastAsia="仿宋_GB2312"/>
          <w:sz w:val="30"/>
          <w:szCs w:val="30"/>
        </w:rPr>
      </w:pPr>
      <w:r>
        <w:rPr>
          <w:rFonts w:ascii="仿宋_GB2312" w:eastAsia="仿宋_GB2312" w:hAnsi="ˎ̥" w:cs="宋体" w:hint="eastAsia"/>
          <w:kern w:val="0"/>
          <w:sz w:val="30"/>
          <w:szCs w:val="30"/>
        </w:rPr>
        <w:t>（三）</w:t>
      </w:r>
      <w:r w:rsidRPr="00AA0413">
        <w:rPr>
          <w:rFonts w:ascii="仿宋_GB2312" w:eastAsia="仿宋_GB2312" w:hint="eastAsia"/>
          <w:sz w:val="30"/>
          <w:szCs w:val="30"/>
        </w:rPr>
        <w:t>因基金合同而产生的或与基金合同有关的一切争议，如经协商或调解不能解决的，</w:t>
      </w:r>
      <w:r>
        <w:rPr>
          <w:rFonts w:ascii="仿宋_GB2312" w:eastAsia="仿宋_GB2312" w:hint="eastAsia"/>
          <w:sz w:val="30"/>
          <w:szCs w:val="30"/>
        </w:rPr>
        <w:t>基金</w:t>
      </w:r>
      <w:r w:rsidRPr="00AA0413">
        <w:rPr>
          <w:rFonts w:ascii="仿宋_GB2312" w:eastAsia="仿宋_GB2312" w:hint="eastAsia"/>
          <w:sz w:val="30"/>
          <w:szCs w:val="30"/>
        </w:rPr>
        <w:t>投资</w:t>
      </w:r>
      <w:r>
        <w:rPr>
          <w:rFonts w:ascii="仿宋_GB2312" w:eastAsia="仿宋_GB2312" w:hint="eastAsia"/>
          <w:sz w:val="30"/>
          <w:szCs w:val="30"/>
        </w:rPr>
        <w:t>人可提交中国国际经济贸易仲</w:t>
      </w:r>
      <w:r w:rsidRPr="00AA0413">
        <w:rPr>
          <w:rFonts w:ascii="仿宋_GB2312" w:eastAsia="仿宋_GB2312" w:hint="eastAsia"/>
          <w:sz w:val="30"/>
          <w:szCs w:val="30"/>
        </w:rPr>
        <w:t>裁委员会根据当时有效的仲裁规则进行仲裁。仲裁地点为基金合同约定的地点。仲裁裁决是终局的，对各方当事人</w:t>
      </w:r>
      <w:r>
        <w:rPr>
          <w:rFonts w:ascii="仿宋_GB2312" w:eastAsia="仿宋_GB2312" w:hint="eastAsia"/>
          <w:sz w:val="30"/>
          <w:szCs w:val="30"/>
        </w:rPr>
        <w:t>均</w:t>
      </w:r>
      <w:r w:rsidRPr="00AA0413">
        <w:rPr>
          <w:rFonts w:ascii="仿宋_GB2312" w:eastAsia="仿宋_GB2312" w:hint="eastAsia"/>
          <w:sz w:val="30"/>
          <w:szCs w:val="30"/>
        </w:rPr>
        <w:t>有约束力。</w:t>
      </w:r>
    </w:p>
    <w:p w:rsidR="00FB30BD" w:rsidRPr="004249B2" w:rsidRDefault="00FB30BD" w:rsidP="00FB30BD">
      <w:pPr>
        <w:spacing w:line="360" w:lineRule="auto"/>
        <w:ind w:firstLineChars="200" w:firstLine="600"/>
        <w:rPr>
          <w:rFonts w:ascii="仿宋_GB2312" w:eastAsia="仿宋_GB2312"/>
          <w:sz w:val="30"/>
          <w:szCs w:val="30"/>
        </w:rPr>
      </w:pPr>
      <w:r w:rsidRPr="004249B2">
        <w:rPr>
          <w:rFonts w:ascii="仿宋_GB2312" w:eastAsia="仿宋_GB2312" w:hint="eastAsia"/>
          <w:sz w:val="30"/>
          <w:szCs w:val="30"/>
        </w:rPr>
        <w:lastRenderedPageBreak/>
        <w:t xml:space="preserve"> </w:t>
      </w:r>
      <w:r>
        <w:rPr>
          <w:rFonts w:ascii="仿宋_GB2312" w:eastAsia="仿宋_GB2312" w:hint="eastAsia"/>
          <w:sz w:val="30"/>
          <w:szCs w:val="30"/>
        </w:rPr>
        <w:t>投资人</w:t>
      </w:r>
      <w:r w:rsidRPr="004249B2">
        <w:rPr>
          <w:rFonts w:ascii="仿宋_GB2312" w:eastAsia="仿宋_GB2312" w:hint="eastAsia"/>
          <w:sz w:val="30"/>
          <w:szCs w:val="30"/>
        </w:rPr>
        <w:t>在投资基金前应</w:t>
      </w:r>
      <w:r w:rsidRPr="004249B2">
        <w:rPr>
          <w:rFonts w:ascii="仿宋_GB2312" w:eastAsia="仿宋_GB2312" w:hAnsi="Arial" w:cs="Arial" w:hint="eastAsia"/>
          <w:sz w:val="30"/>
          <w:szCs w:val="30"/>
        </w:rPr>
        <w:t>认真阅读《基金合同》、《招募说明书》等基金法律文件，选择与自身风险承受能力相适应的基金。</w:t>
      </w:r>
      <w:r w:rsidR="0080113F">
        <w:rPr>
          <w:rFonts w:ascii="仿宋_GB2312" w:eastAsia="仿宋_GB2312" w:hAnsi="Arial" w:cs="Arial" w:hint="eastAsia"/>
          <w:sz w:val="30"/>
          <w:szCs w:val="30"/>
        </w:rPr>
        <w:t>本行</w:t>
      </w:r>
      <w:r w:rsidRPr="004249B2">
        <w:rPr>
          <w:rFonts w:ascii="仿宋_GB2312" w:eastAsia="仿宋_GB2312" w:hAnsi="Arial" w:cs="Arial" w:hint="eastAsia"/>
          <w:sz w:val="30"/>
          <w:szCs w:val="30"/>
        </w:rPr>
        <w:t>和基金管理人承诺投资人利益优先，以诚实信用、勤勉尽责的态度为投资人提供服务，但不能保证基金一定盈利，也不能保证基金的最低收益。</w:t>
      </w:r>
      <w:r>
        <w:rPr>
          <w:rFonts w:ascii="仿宋_GB2312" w:eastAsia="仿宋_GB2312" w:hAnsi="Arial" w:cs="Arial" w:hint="eastAsia"/>
          <w:sz w:val="30"/>
          <w:szCs w:val="30"/>
        </w:rPr>
        <w:t>投资人可登录中国证监会网站（www.csrc.gov.cn）或中国</w:t>
      </w:r>
      <w:r w:rsidR="00805014">
        <w:rPr>
          <w:rFonts w:ascii="仿宋_GB2312" w:eastAsia="仿宋_GB2312" w:hAnsi="Arial" w:cs="Arial" w:hint="eastAsia"/>
          <w:sz w:val="30"/>
          <w:szCs w:val="30"/>
        </w:rPr>
        <w:t>基金</w:t>
      </w:r>
      <w:r>
        <w:rPr>
          <w:rFonts w:ascii="仿宋_GB2312" w:eastAsia="仿宋_GB2312" w:hAnsi="Arial" w:cs="Arial" w:hint="eastAsia"/>
          <w:sz w:val="30"/>
          <w:szCs w:val="30"/>
        </w:rPr>
        <w:t>业协会网站（</w:t>
      </w:r>
      <w:r w:rsidR="00805014" w:rsidRPr="00805014">
        <w:rPr>
          <w:rFonts w:ascii="仿宋_GB2312" w:eastAsia="仿宋_GB2312" w:hAnsi="ˎ̥" w:cs="宋体"/>
          <w:kern w:val="0"/>
          <w:sz w:val="30"/>
          <w:szCs w:val="30"/>
        </w:rPr>
        <w:t>www.amac.org.cn</w:t>
      </w:r>
      <w:r>
        <w:rPr>
          <w:rFonts w:ascii="仿宋_GB2312" w:eastAsia="仿宋_GB2312" w:hAnsi="Arial" w:cs="Arial" w:hint="eastAsia"/>
          <w:sz w:val="30"/>
          <w:szCs w:val="30"/>
        </w:rPr>
        <w:t>）查询基金销售机构名录，核实</w:t>
      </w:r>
      <w:r w:rsidR="0080113F">
        <w:rPr>
          <w:rFonts w:ascii="仿宋_GB2312" w:eastAsia="仿宋_GB2312" w:hAnsi="Arial" w:cs="Arial" w:hint="eastAsia"/>
          <w:sz w:val="30"/>
          <w:szCs w:val="30"/>
        </w:rPr>
        <w:t>本行</w:t>
      </w:r>
      <w:r>
        <w:rPr>
          <w:rFonts w:ascii="仿宋_GB2312" w:eastAsia="仿宋_GB2312" w:hAnsi="Arial" w:cs="Arial" w:hint="eastAsia"/>
          <w:sz w:val="30"/>
          <w:szCs w:val="30"/>
        </w:rPr>
        <w:t>基金销售资格。</w:t>
      </w:r>
    </w:p>
    <w:p w:rsidR="00FB30BD" w:rsidRPr="00805014" w:rsidRDefault="00FB30BD" w:rsidP="00FB30BD"/>
    <w:p w:rsidR="00FB30BD" w:rsidRDefault="00FB30BD" w:rsidP="00FB30BD"/>
    <w:p w:rsidR="00FB30BD" w:rsidRDefault="00FB30BD" w:rsidP="00FB30BD"/>
    <w:p w:rsidR="005F1209" w:rsidRPr="00FB30BD" w:rsidRDefault="005F1209">
      <w:pPr>
        <w:rPr>
          <w:sz w:val="28"/>
          <w:szCs w:val="28"/>
        </w:rPr>
      </w:pPr>
    </w:p>
    <w:sectPr w:rsidR="005F1209" w:rsidRPr="00FB30BD" w:rsidSect="00FB30BD">
      <w:footerReference w:type="default" r:id="rId7"/>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81D" w:rsidRDefault="0023381D">
      <w:r>
        <w:separator/>
      </w:r>
    </w:p>
  </w:endnote>
  <w:endnote w:type="continuationSeparator" w:id="1">
    <w:p w:rsidR="0023381D" w:rsidRDefault="00233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BD" w:rsidRDefault="007A3682">
    <w:pPr>
      <w:pStyle w:val="a5"/>
      <w:jc w:val="center"/>
    </w:pPr>
    <w:fldSimple w:instr=" PAGE   \* MERGEFORMAT ">
      <w:r w:rsidR="0080113F" w:rsidRPr="0080113F">
        <w:rPr>
          <w:noProof/>
          <w:lang w:val="zh-CN"/>
        </w:rPr>
        <w:t>5</w:t>
      </w:r>
    </w:fldSimple>
  </w:p>
  <w:p w:rsidR="00FB30BD" w:rsidRDefault="00FB30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81D" w:rsidRDefault="0023381D">
      <w:r>
        <w:separator/>
      </w:r>
    </w:p>
  </w:footnote>
  <w:footnote w:type="continuationSeparator" w:id="1">
    <w:p w:rsidR="0023381D" w:rsidRDefault="00233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30BD"/>
    <w:rsid w:val="00007054"/>
    <w:rsid w:val="0001413F"/>
    <w:rsid w:val="000213E1"/>
    <w:rsid w:val="00033847"/>
    <w:rsid w:val="00034C6B"/>
    <w:rsid w:val="0004130D"/>
    <w:rsid w:val="00043F69"/>
    <w:rsid w:val="00045265"/>
    <w:rsid w:val="00046631"/>
    <w:rsid w:val="00050CFA"/>
    <w:rsid w:val="00051CC7"/>
    <w:rsid w:val="00056784"/>
    <w:rsid w:val="0006006B"/>
    <w:rsid w:val="00063102"/>
    <w:rsid w:val="00072C35"/>
    <w:rsid w:val="0007415E"/>
    <w:rsid w:val="00084A9B"/>
    <w:rsid w:val="00085FDA"/>
    <w:rsid w:val="00092CFA"/>
    <w:rsid w:val="000935F0"/>
    <w:rsid w:val="000A52C2"/>
    <w:rsid w:val="000B6565"/>
    <w:rsid w:val="000D58B7"/>
    <w:rsid w:val="000E3457"/>
    <w:rsid w:val="001032B9"/>
    <w:rsid w:val="00103837"/>
    <w:rsid w:val="00105699"/>
    <w:rsid w:val="00111C1F"/>
    <w:rsid w:val="00114B7A"/>
    <w:rsid w:val="001303C3"/>
    <w:rsid w:val="001309A6"/>
    <w:rsid w:val="00130E92"/>
    <w:rsid w:val="00134CF1"/>
    <w:rsid w:val="00135B81"/>
    <w:rsid w:val="0014296B"/>
    <w:rsid w:val="001448A1"/>
    <w:rsid w:val="00147C3C"/>
    <w:rsid w:val="0015499C"/>
    <w:rsid w:val="0016049D"/>
    <w:rsid w:val="00162A31"/>
    <w:rsid w:val="00166221"/>
    <w:rsid w:val="001708BD"/>
    <w:rsid w:val="00171AD4"/>
    <w:rsid w:val="00176376"/>
    <w:rsid w:val="00182A19"/>
    <w:rsid w:val="00183020"/>
    <w:rsid w:val="00190AE7"/>
    <w:rsid w:val="00191EE3"/>
    <w:rsid w:val="00193215"/>
    <w:rsid w:val="00195B77"/>
    <w:rsid w:val="00196B61"/>
    <w:rsid w:val="001A52DE"/>
    <w:rsid w:val="001B4912"/>
    <w:rsid w:val="001C0B92"/>
    <w:rsid w:val="001C3EFB"/>
    <w:rsid w:val="001C606C"/>
    <w:rsid w:val="001C7210"/>
    <w:rsid w:val="001D38A7"/>
    <w:rsid w:val="001E1DF1"/>
    <w:rsid w:val="001E4FA2"/>
    <w:rsid w:val="001F0750"/>
    <w:rsid w:val="001F0FC4"/>
    <w:rsid w:val="00202023"/>
    <w:rsid w:val="00205B19"/>
    <w:rsid w:val="0022277E"/>
    <w:rsid w:val="0023381D"/>
    <w:rsid w:val="00237403"/>
    <w:rsid w:val="002469FF"/>
    <w:rsid w:val="002637AE"/>
    <w:rsid w:val="00274B50"/>
    <w:rsid w:val="002824F9"/>
    <w:rsid w:val="0029376D"/>
    <w:rsid w:val="00296308"/>
    <w:rsid w:val="002A7F03"/>
    <w:rsid w:val="002B41A1"/>
    <w:rsid w:val="002B55D4"/>
    <w:rsid w:val="002C376C"/>
    <w:rsid w:val="002C3884"/>
    <w:rsid w:val="002C70F6"/>
    <w:rsid w:val="002D6306"/>
    <w:rsid w:val="002D6DEC"/>
    <w:rsid w:val="002E12AE"/>
    <w:rsid w:val="002E1D44"/>
    <w:rsid w:val="002E28EE"/>
    <w:rsid w:val="002F483D"/>
    <w:rsid w:val="00301594"/>
    <w:rsid w:val="0030180A"/>
    <w:rsid w:val="003068B2"/>
    <w:rsid w:val="00307A3E"/>
    <w:rsid w:val="00310F92"/>
    <w:rsid w:val="00316C50"/>
    <w:rsid w:val="00326248"/>
    <w:rsid w:val="003308BB"/>
    <w:rsid w:val="00331D46"/>
    <w:rsid w:val="00331DB3"/>
    <w:rsid w:val="00341047"/>
    <w:rsid w:val="00344767"/>
    <w:rsid w:val="00346BAF"/>
    <w:rsid w:val="00352C4B"/>
    <w:rsid w:val="0035305D"/>
    <w:rsid w:val="00361BEE"/>
    <w:rsid w:val="00361DEC"/>
    <w:rsid w:val="00363202"/>
    <w:rsid w:val="003634D9"/>
    <w:rsid w:val="003657C1"/>
    <w:rsid w:val="00365B9B"/>
    <w:rsid w:val="0036793B"/>
    <w:rsid w:val="0037308E"/>
    <w:rsid w:val="003829EC"/>
    <w:rsid w:val="00382C03"/>
    <w:rsid w:val="00383F0A"/>
    <w:rsid w:val="00384957"/>
    <w:rsid w:val="003A11F4"/>
    <w:rsid w:val="003A25E3"/>
    <w:rsid w:val="003A649C"/>
    <w:rsid w:val="003C6E29"/>
    <w:rsid w:val="003D1AE8"/>
    <w:rsid w:val="003D4502"/>
    <w:rsid w:val="003D4A35"/>
    <w:rsid w:val="003E22FB"/>
    <w:rsid w:val="003E29C9"/>
    <w:rsid w:val="003E76DA"/>
    <w:rsid w:val="003F22DA"/>
    <w:rsid w:val="003F5266"/>
    <w:rsid w:val="00400249"/>
    <w:rsid w:val="00400B3A"/>
    <w:rsid w:val="00407AF6"/>
    <w:rsid w:val="004175CF"/>
    <w:rsid w:val="004325D1"/>
    <w:rsid w:val="00433BFF"/>
    <w:rsid w:val="00435CAA"/>
    <w:rsid w:val="00446E1C"/>
    <w:rsid w:val="00451443"/>
    <w:rsid w:val="00453B38"/>
    <w:rsid w:val="00454B61"/>
    <w:rsid w:val="004602D1"/>
    <w:rsid w:val="004779AF"/>
    <w:rsid w:val="00483ACC"/>
    <w:rsid w:val="00483BBB"/>
    <w:rsid w:val="0048541C"/>
    <w:rsid w:val="004A1B95"/>
    <w:rsid w:val="004A5D06"/>
    <w:rsid w:val="004C0FA7"/>
    <w:rsid w:val="004D470C"/>
    <w:rsid w:val="004D75BE"/>
    <w:rsid w:val="004E0547"/>
    <w:rsid w:val="004E42FA"/>
    <w:rsid w:val="004E5AD7"/>
    <w:rsid w:val="004F3533"/>
    <w:rsid w:val="004F5A74"/>
    <w:rsid w:val="004F7FD3"/>
    <w:rsid w:val="0050187A"/>
    <w:rsid w:val="005024C3"/>
    <w:rsid w:val="00531B63"/>
    <w:rsid w:val="0053402B"/>
    <w:rsid w:val="005400A8"/>
    <w:rsid w:val="00545A51"/>
    <w:rsid w:val="00551C18"/>
    <w:rsid w:val="00554C8F"/>
    <w:rsid w:val="0055543C"/>
    <w:rsid w:val="0055682A"/>
    <w:rsid w:val="00560DAC"/>
    <w:rsid w:val="00563AAC"/>
    <w:rsid w:val="00564751"/>
    <w:rsid w:val="00564ACD"/>
    <w:rsid w:val="005740D6"/>
    <w:rsid w:val="00574B8D"/>
    <w:rsid w:val="00577568"/>
    <w:rsid w:val="00580528"/>
    <w:rsid w:val="00582E93"/>
    <w:rsid w:val="00587EC4"/>
    <w:rsid w:val="00592C3C"/>
    <w:rsid w:val="00593A66"/>
    <w:rsid w:val="005E3DDF"/>
    <w:rsid w:val="005F1209"/>
    <w:rsid w:val="005F650D"/>
    <w:rsid w:val="00612348"/>
    <w:rsid w:val="00617D56"/>
    <w:rsid w:val="00622188"/>
    <w:rsid w:val="00626D90"/>
    <w:rsid w:val="00633120"/>
    <w:rsid w:val="00637ACE"/>
    <w:rsid w:val="0064063C"/>
    <w:rsid w:val="00652491"/>
    <w:rsid w:val="006563A4"/>
    <w:rsid w:val="00660C7F"/>
    <w:rsid w:val="006723C1"/>
    <w:rsid w:val="00690174"/>
    <w:rsid w:val="00690D49"/>
    <w:rsid w:val="0069774D"/>
    <w:rsid w:val="00697BC1"/>
    <w:rsid w:val="006A4F8F"/>
    <w:rsid w:val="006B7C39"/>
    <w:rsid w:val="006C18B9"/>
    <w:rsid w:val="006C4CBF"/>
    <w:rsid w:val="006E2717"/>
    <w:rsid w:val="006E392F"/>
    <w:rsid w:val="006E4118"/>
    <w:rsid w:val="006E7C24"/>
    <w:rsid w:val="00700FBE"/>
    <w:rsid w:val="0070167C"/>
    <w:rsid w:val="00702527"/>
    <w:rsid w:val="00702CBE"/>
    <w:rsid w:val="00705CD7"/>
    <w:rsid w:val="007062C4"/>
    <w:rsid w:val="007155DE"/>
    <w:rsid w:val="00727EA6"/>
    <w:rsid w:val="00736250"/>
    <w:rsid w:val="0074436E"/>
    <w:rsid w:val="00753740"/>
    <w:rsid w:val="00755F6F"/>
    <w:rsid w:val="0076179C"/>
    <w:rsid w:val="007731BD"/>
    <w:rsid w:val="007741D2"/>
    <w:rsid w:val="0078250B"/>
    <w:rsid w:val="00787026"/>
    <w:rsid w:val="007871B3"/>
    <w:rsid w:val="0078744A"/>
    <w:rsid w:val="00787469"/>
    <w:rsid w:val="007A3682"/>
    <w:rsid w:val="007A7764"/>
    <w:rsid w:val="007B3DC8"/>
    <w:rsid w:val="007C0EF5"/>
    <w:rsid w:val="007C425D"/>
    <w:rsid w:val="007C688F"/>
    <w:rsid w:val="007D0949"/>
    <w:rsid w:val="007E23C5"/>
    <w:rsid w:val="007E2947"/>
    <w:rsid w:val="007F0115"/>
    <w:rsid w:val="007F21DC"/>
    <w:rsid w:val="007F5C14"/>
    <w:rsid w:val="0080113F"/>
    <w:rsid w:val="00804DD4"/>
    <w:rsid w:val="00805014"/>
    <w:rsid w:val="00817BAE"/>
    <w:rsid w:val="008253C2"/>
    <w:rsid w:val="00832069"/>
    <w:rsid w:val="00844791"/>
    <w:rsid w:val="00846E23"/>
    <w:rsid w:val="00864723"/>
    <w:rsid w:val="00865277"/>
    <w:rsid w:val="00870E7E"/>
    <w:rsid w:val="0087676F"/>
    <w:rsid w:val="00886497"/>
    <w:rsid w:val="008975C8"/>
    <w:rsid w:val="008B32A1"/>
    <w:rsid w:val="008B4FB8"/>
    <w:rsid w:val="008C3209"/>
    <w:rsid w:val="008D0C0D"/>
    <w:rsid w:val="008D384A"/>
    <w:rsid w:val="008D4C3E"/>
    <w:rsid w:val="008E05FE"/>
    <w:rsid w:val="008E31A3"/>
    <w:rsid w:val="008E5DF0"/>
    <w:rsid w:val="009062D1"/>
    <w:rsid w:val="009149EC"/>
    <w:rsid w:val="00914CF4"/>
    <w:rsid w:val="00920363"/>
    <w:rsid w:val="00923F68"/>
    <w:rsid w:val="00935A47"/>
    <w:rsid w:val="00941FF9"/>
    <w:rsid w:val="00942825"/>
    <w:rsid w:val="00950B76"/>
    <w:rsid w:val="00955C31"/>
    <w:rsid w:val="0095779B"/>
    <w:rsid w:val="009638A7"/>
    <w:rsid w:val="00973520"/>
    <w:rsid w:val="00985753"/>
    <w:rsid w:val="00985839"/>
    <w:rsid w:val="00990804"/>
    <w:rsid w:val="0099333E"/>
    <w:rsid w:val="009A040A"/>
    <w:rsid w:val="009A119A"/>
    <w:rsid w:val="009A2976"/>
    <w:rsid w:val="009A5214"/>
    <w:rsid w:val="009B198D"/>
    <w:rsid w:val="009B695F"/>
    <w:rsid w:val="009D0D3E"/>
    <w:rsid w:val="009D195C"/>
    <w:rsid w:val="009D7692"/>
    <w:rsid w:val="009F1187"/>
    <w:rsid w:val="009F4E40"/>
    <w:rsid w:val="00A046FC"/>
    <w:rsid w:val="00A13B0A"/>
    <w:rsid w:val="00A201A5"/>
    <w:rsid w:val="00A23B6E"/>
    <w:rsid w:val="00A24701"/>
    <w:rsid w:val="00A31C43"/>
    <w:rsid w:val="00A31CE0"/>
    <w:rsid w:val="00A342FE"/>
    <w:rsid w:val="00A351E5"/>
    <w:rsid w:val="00A40CB7"/>
    <w:rsid w:val="00A41D8A"/>
    <w:rsid w:val="00A46C24"/>
    <w:rsid w:val="00A537A9"/>
    <w:rsid w:val="00A5490F"/>
    <w:rsid w:val="00A61110"/>
    <w:rsid w:val="00A65B9C"/>
    <w:rsid w:val="00A667D9"/>
    <w:rsid w:val="00A702C4"/>
    <w:rsid w:val="00A76BEA"/>
    <w:rsid w:val="00A84197"/>
    <w:rsid w:val="00A91F9C"/>
    <w:rsid w:val="00A94CE5"/>
    <w:rsid w:val="00A97644"/>
    <w:rsid w:val="00AA06B2"/>
    <w:rsid w:val="00AB10E3"/>
    <w:rsid w:val="00AB22A1"/>
    <w:rsid w:val="00AD5B87"/>
    <w:rsid w:val="00AE1592"/>
    <w:rsid w:val="00AE20A3"/>
    <w:rsid w:val="00AE39E1"/>
    <w:rsid w:val="00AE6E06"/>
    <w:rsid w:val="00AF223F"/>
    <w:rsid w:val="00B017B7"/>
    <w:rsid w:val="00B02778"/>
    <w:rsid w:val="00B1147E"/>
    <w:rsid w:val="00B11B49"/>
    <w:rsid w:val="00B13B96"/>
    <w:rsid w:val="00B21C00"/>
    <w:rsid w:val="00B23893"/>
    <w:rsid w:val="00B268CF"/>
    <w:rsid w:val="00B32724"/>
    <w:rsid w:val="00B421DE"/>
    <w:rsid w:val="00B46854"/>
    <w:rsid w:val="00B64814"/>
    <w:rsid w:val="00B6510D"/>
    <w:rsid w:val="00B6629A"/>
    <w:rsid w:val="00B708A7"/>
    <w:rsid w:val="00B70BD9"/>
    <w:rsid w:val="00B7344F"/>
    <w:rsid w:val="00B74FDD"/>
    <w:rsid w:val="00B77F3D"/>
    <w:rsid w:val="00BA2CBE"/>
    <w:rsid w:val="00BA4913"/>
    <w:rsid w:val="00BA7ABC"/>
    <w:rsid w:val="00BB71D9"/>
    <w:rsid w:val="00BB7720"/>
    <w:rsid w:val="00BC6BCF"/>
    <w:rsid w:val="00BD2A34"/>
    <w:rsid w:val="00BD6FF6"/>
    <w:rsid w:val="00BE01DC"/>
    <w:rsid w:val="00BF0E92"/>
    <w:rsid w:val="00BF43EC"/>
    <w:rsid w:val="00BF58C0"/>
    <w:rsid w:val="00C001D1"/>
    <w:rsid w:val="00C00606"/>
    <w:rsid w:val="00C109C5"/>
    <w:rsid w:val="00C163FE"/>
    <w:rsid w:val="00C1770A"/>
    <w:rsid w:val="00C23DAD"/>
    <w:rsid w:val="00C24284"/>
    <w:rsid w:val="00C26563"/>
    <w:rsid w:val="00C26716"/>
    <w:rsid w:val="00C37C70"/>
    <w:rsid w:val="00C40A22"/>
    <w:rsid w:val="00C40C22"/>
    <w:rsid w:val="00C40E0E"/>
    <w:rsid w:val="00C40FDB"/>
    <w:rsid w:val="00C42BBE"/>
    <w:rsid w:val="00C45AE8"/>
    <w:rsid w:val="00C505D9"/>
    <w:rsid w:val="00C5107B"/>
    <w:rsid w:val="00C670EF"/>
    <w:rsid w:val="00C70A92"/>
    <w:rsid w:val="00C72573"/>
    <w:rsid w:val="00C72AF0"/>
    <w:rsid w:val="00C80FAE"/>
    <w:rsid w:val="00C843FC"/>
    <w:rsid w:val="00C85BD0"/>
    <w:rsid w:val="00C872B3"/>
    <w:rsid w:val="00CA27F9"/>
    <w:rsid w:val="00CB0852"/>
    <w:rsid w:val="00CB305E"/>
    <w:rsid w:val="00CB54D7"/>
    <w:rsid w:val="00CB5768"/>
    <w:rsid w:val="00CB5C8B"/>
    <w:rsid w:val="00CB67DB"/>
    <w:rsid w:val="00CB69C7"/>
    <w:rsid w:val="00CD0F41"/>
    <w:rsid w:val="00CD3BDD"/>
    <w:rsid w:val="00CD43E8"/>
    <w:rsid w:val="00CD4544"/>
    <w:rsid w:val="00CE1C1A"/>
    <w:rsid w:val="00CE3872"/>
    <w:rsid w:val="00CE3B83"/>
    <w:rsid w:val="00CE68D5"/>
    <w:rsid w:val="00CF1459"/>
    <w:rsid w:val="00CF5768"/>
    <w:rsid w:val="00D10307"/>
    <w:rsid w:val="00D21B7A"/>
    <w:rsid w:val="00D2579D"/>
    <w:rsid w:val="00D41873"/>
    <w:rsid w:val="00D5296F"/>
    <w:rsid w:val="00D54DB6"/>
    <w:rsid w:val="00D62203"/>
    <w:rsid w:val="00D66A95"/>
    <w:rsid w:val="00D76CA0"/>
    <w:rsid w:val="00D97AF4"/>
    <w:rsid w:val="00DA2316"/>
    <w:rsid w:val="00DA3D63"/>
    <w:rsid w:val="00DA3FAA"/>
    <w:rsid w:val="00DB0EB0"/>
    <w:rsid w:val="00DB4D42"/>
    <w:rsid w:val="00DC57FA"/>
    <w:rsid w:val="00DD646F"/>
    <w:rsid w:val="00DD7AF8"/>
    <w:rsid w:val="00DE3BDE"/>
    <w:rsid w:val="00DF057A"/>
    <w:rsid w:val="00DF0DD8"/>
    <w:rsid w:val="00DF58F1"/>
    <w:rsid w:val="00DF5EBE"/>
    <w:rsid w:val="00DF6334"/>
    <w:rsid w:val="00DF6394"/>
    <w:rsid w:val="00E05273"/>
    <w:rsid w:val="00E165C9"/>
    <w:rsid w:val="00E20925"/>
    <w:rsid w:val="00E21A3F"/>
    <w:rsid w:val="00E303CF"/>
    <w:rsid w:val="00E307C3"/>
    <w:rsid w:val="00E435FF"/>
    <w:rsid w:val="00E513CE"/>
    <w:rsid w:val="00E6554A"/>
    <w:rsid w:val="00E7218C"/>
    <w:rsid w:val="00E72641"/>
    <w:rsid w:val="00E73991"/>
    <w:rsid w:val="00E86041"/>
    <w:rsid w:val="00E92160"/>
    <w:rsid w:val="00E927DF"/>
    <w:rsid w:val="00EA37CF"/>
    <w:rsid w:val="00EA392C"/>
    <w:rsid w:val="00EB07F1"/>
    <w:rsid w:val="00EB2EA6"/>
    <w:rsid w:val="00EB45E9"/>
    <w:rsid w:val="00EC53CC"/>
    <w:rsid w:val="00ED723B"/>
    <w:rsid w:val="00EE23FD"/>
    <w:rsid w:val="00EF0BAD"/>
    <w:rsid w:val="00EF46CC"/>
    <w:rsid w:val="00EF67A7"/>
    <w:rsid w:val="00F0184A"/>
    <w:rsid w:val="00F07D2E"/>
    <w:rsid w:val="00F15F07"/>
    <w:rsid w:val="00F17D49"/>
    <w:rsid w:val="00F20ECA"/>
    <w:rsid w:val="00F25BD0"/>
    <w:rsid w:val="00F27A43"/>
    <w:rsid w:val="00F31AEE"/>
    <w:rsid w:val="00F32023"/>
    <w:rsid w:val="00F4195A"/>
    <w:rsid w:val="00F549FF"/>
    <w:rsid w:val="00F568FE"/>
    <w:rsid w:val="00F65F62"/>
    <w:rsid w:val="00F8276F"/>
    <w:rsid w:val="00F866E9"/>
    <w:rsid w:val="00F86A71"/>
    <w:rsid w:val="00F90152"/>
    <w:rsid w:val="00F929CD"/>
    <w:rsid w:val="00F942B7"/>
    <w:rsid w:val="00F9585B"/>
    <w:rsid w:val="00FA23CD"/>
    <w:rsid w:val="00FA6793"/>
    <w:rsid w:val="00FB25C3"/>
    <w:rsid w:val="00FB30BD"/>
    <w:rsid w:val="00FC0CF3"/>
    <w:rsid w:val="00FD3E3E"/>
    <w:rsid w:val="00FE02FA"/>
    <w:rsid w:val="00FE366D"/>
    <w:rsid w:val="00FF0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B30BD"/>
    <w:rPr>
      <w:rFonts w:ascii="宋体" w:eastAsia="宋体" w:hAnsi="宋体" w:hint="eastAsia"/>
      <w:b w:val="0"/>
      <w:bCs w:val="0"/>
      <w:strike w:val="0"/>
      <w:dstrike w:val="0"/>
      <w:color w:val="000000"/>
      <w:sz w:val="18"/>
      <w:szCs w:val="18"/>
      <w:u w:val="none"/>
      <w:effect w:val="none"/>
    </w:rPr>
  </w:style>
  <w:style w:type="paragraph" w:styleId="a4">
    <w:name w:val="Normal (Web)"/>
    <w:basedOn w:val="a"/>
    <w:rsid w:val="00FB30BD"/>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iPriority w:val="99"/>
    <w:unhideWhenUsed/>
    <w:rsid w:val="00FB30BD"/>
    <w:pPr>
      <w:tabs>
        <w:tab w:val="center" w:pos="4153"/>
        <w:tab w:val="right" w:pos="8306"/>
      </w:tabs>
      <w:snapToGrid w:val="0"/>
      <w:jc w:val="left"/>
    </w:pPr>
    <w:rPr>
      <w:sz w:val="18"/>
      <w:szCs w:val="18"/>
    </w:rPr>
  </w:style>
  <w:style w:type="character" w:customStyle="1" w:styleId="Char">
    <w:name w:val="页脚 Char"/>
    <w:link w:val="a5"/>
    <w:uiPriority w:val="99"/>
    <w:rsid w:val="00FB30BD"/>
    <w:rPr>
      <w:rFonts w:ascii="Calibri" w:eastAsia="宋体" w:hAnsi="Calibri" w:cs="Times New Roman"/>
      <w:sz w:val="18"/>
      <w:szCs w:val="18"/>
    </w:rPr>
  </w:style>
  <w:style w:type="paragraph" w:styleId="a6">
    <w:name w:val="header"/>
    <w:basedOn w:val="a"/>
    <w:link w:val="Char0"/>
    <w:uiPriority w:val="99"/>
    <w:unhideWhenUsed/>
    <w:rsid w:val="007871B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7871B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rc.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Links>
    <vt:vector size="6" baseType="variant">
      <vt:variant>
        <vt:i4>3866674</vt:i4>
      </vt:variant>
      <vt:variant>
        <vt:i4>0</vt:i4>
      </vt:variant>
      <vt:variant>
        <vt:i4>0</vt:i4>
      </vt:variant>
      <vt:variant>
        <vt:i4>5</vt:i4>
      </vt:variant>
      <vt:variant>
        <vt:lpwstr>http://www.csrc.gov.cn/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ntko</cp:lastModifiedBy>
  <cp:revision>100</cp:revision>
  <dcterms:created xsi:type="dcterms:W3CDTF">2023-05-23T03:22:00Z</dcterms:created>
  <dcterms:modified xsi:type="dcterms:W3CDTF">2023-05-24T11:03:00Z</dcterms:modified>
</cp:coreProperties>
</file>